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F0F13" w14:textId="77777777" w:rsidR="00E42024" w:rsidRPr="00E42024" w:rsidRDefault="00E42024" w:rsidP="00E42024">
      <w:pPr>
        <w:spacing w:after="120" w:line="240" w:lineRule="auto"/>
        <w:outlineLvl w:val="0"/>
        <w:rPr>
          <w:rFonts w:ascii="Arial" w:eastAsia="Times New Roman" w:hAnsi="Arial" w:cs="Arial"/>
          <w:b/>
          <w:sz w:val="28"/>
          <w:szCs w:val="28"/>
          <w:lang w:eastAsia="en-GB"/>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3"/>
        <w:gridCol w:w="4251"/>
        <w:gridCol w:w="1276"/>
        <w:gridCol w:w="1676"/>
        <w:gridCol w:w="239"/>
      </w:tblGrid>
      <w:tr w:rsidR="00E42024" w:rsidRPr="00E42024" w14:paraId="5EA5E001" w14:textId="77777777" w:rsidTr="00152C4F">
        <w:tc>
          <w:tcPr>
            <w:tcW w:w="9675" w:type="dxa"/>
            <w:gridSpan w:val="5"/>
            <w:tcBorders>
              <w:bottom w:val="nil"/>
            </w:tcBorders>
            <w:shd w:val="pct12" w:color="auto" w:fill="auto"/>
            <w:vAlign w:val="center"/>
            <w:hideMark/>
          </w:tcPr>
          <w:p w14:paraId="27B2449D" w14:textId="77777777" w:rsidR="00E42024" w:rsidRPr="00E42024" w:rsidRDefault="00E42024" w:rsidP="00E42024">
            <w:pPr>
              <w:spacing w:before="60" w:after="60" w:line="240" w:lineRule="auto"/>
              <w:jc w:val="center"/>
              <w:rPr>
                <w:rFonts w:ascii="Arial" w:eastAsia="Times New Roman" w:hAnsi="Arial" w:cs="Arial"/>
                <w:sz w:val="24"/>
                <w:szCs w:val="24"/>
                <w:u w:val="single"/>
                <w:lang w:eastAsia="en-GB"/>
              </w:rPr>
            </w:pPr>
            <w:r w:rsidRPr="00E42024">
              <w:rPr>
                <w:rFonts w:ascii="Arial" w:eastAsia="Times New Roman" w:hAnsi="Arial" w:cs="Arial"/>
                <w:sz w:val="24"/>
                <w:szCs w:val="24"/>
                <w:u w:val="single"/>
                <w:lang w:eastAsia="en-GB"/>
              </w:rPr>
              <w:t>Doncaster Culture &amp; Leisure Trust</w:t>
            </w:r>
          </w:p>
          <w:p w14:paraId="7CFF0669" w14:textId="77777777" w:rsidR="00E42024" w:rsidRPr="00E42024" w:rsidRDefault="00E42024" w:rsidP="00E42024">
            <w:pPr>
              <w:spacing w:before="60" w:after="60" w:line="240" w:lineRule="auto"/>
              <w:jc w:val="center"/>
              <w:rPr>
                <w:rFonts w:ascii="Arial" w:eastAsia="Times New Roman" w:hAnsi="Arial" w:cs="Arial"/>
                <w:sz w:val="24"/>
                <w:szCs w:val="24"/>
                <w:lang w:eastAsia="en-GB"/>
              </w:rPr>
            </w:pPr>
            <w:r w:rsidRPr="00E42024">
              <w:rPr>
                <w:rFonts w:ascii="Arial" w:eastAsia="Times New Roman" w:hAnsi="Arial" w:cs="Arial"/>
                <w:sz w:val="24"/>
                <w:szCs w:val="24"/>
                <w:lang w:eastAsia="en-GB"/>
              </w:rPr>
              <w:t xml:space="preserve"> Gender Pay Gap Statement</w:t>
            </w:r>
          </w:p>
        </w:tc>
      </w:tr>
      <w:tr w:rsidR="00E42024" w:rsidRPr="00E42024" w14:paraId="47920CB6" w14:textId="77777777" w:rsidTr="00152C4F">
        <w:trPr>
          <w:trHeight w:val="85"/>
        </w:trPr>
        <w:tc>
          <w:tcPr>
            <w:tcW w:w="9675" w:type="dxa"/>
            <w:gridSpan w:val="5"/>
            <w:tcBorders>
              <w:top w:val="nil"/>
              <w:bottom w:val="nil"/>
            </w:tcBorders>
            <w:shd w:val="pct12" w:color="auto" w:fill="auto"/>
            <w:vAlign w:val="center"/>
          </w:tcPr>
          <w:p w14:paraId="1C8F7BEE" w14:textId="77777777" w:rsidR="00E42024" w:rsidRPr="00E42024" w:rsidRDefault="00E42024" w:rsidP="00E42024">
            <w:pPr>
              <w:spacing w:before="60" w:after="60" w:line="240" w:lineRule="auto"/>
              <w:rPr>
                <w:rFonts w:ascii="Arial" w:eastAsia="Times New Roman" w:hAnsi="Arial" w:cs="Arial"/>
                <w:sz w:val="20"/>
                <w:szCs w:val="20"/>
                <w:lang w:eastAsia="en-GB"/>
              </w:rPr>
            </w:pPr>
          </w:p>
        </w:tc>
      </w:tr>
      <w:tr w:rsidR="00E42024" w:rsidRPr="00E42024" w14:paraId="5B0B0B38" w14:textId="77777777" w:rsidTr="00152C4F">
        <w:tc>
          <w:tcPr>
            <w:tcW w:w="2233" w:type="dxa"/>
            <w:tcBorders>
              <w:top w:val="nil"/>
              <w:bottom w:val="nil"/>
            </w:tcBorders>
            <w:shd w:val="clear" w:color="auto" w:fill="E0E0E0"/>
            <w:hideMark/>
          </w:tcPr>
          <w:p w14:paraId="48FE853F" w14:textId="77777777" w:rsidR="00E42024" w:rsidRPr="00E42024" w:rsidRDefault="00E42024" w:rsidP="00E42024">
            <w:pPr>
              <w:spacing w:before="60" w:after="60" w:line="240" w:lineRule="auto"/>
              <w:rPr>
                <w:rFonts w:ascii="Arial" w:eastAsia="Times New Roman" w:hAnsi="Arial" w:cs="Arial"/>
                <w:sz w:val="20"/>
                <w:szCs w:val="20"/>
                <w:lang w:eastAsia="en-GB"/>
              </w:rPr>
            </w:pPr>
            <w:bookmarkStart w:id="0" w:name="Text2" w:colFirst="1" w:colLast="1"/>
            <w:r w:rsidRPr="00E42024">
              <w:rPr>
                <w:rFonts w:ascii="Arial" w:eastAsia="Times New Roman" w:hAnsi="Arial" w:cs="Arial"/>
                <w:sz w:val="20"/>
                <w:szCs w:val="20"/>
                <w:lang w:eastAsia="en-GB"/>
              </w:rPr>
              <w:t>Name of organisation</w:t>
            </w:r>
          </w:p>
        </w:tc>
        <w:tc>
          <w:tcPr>
            <w:tcW w:w="4251" w:type="dxa"/>
            <w:hideMark/>
          </w:tcPr>
          <w:p w14:paraId="674AA7A3" w14:textId="77777777" w:rsidR="00E42024" w:rsidRPr="00E42024" w:rsidRDefault="00E42024" w:rsidP="00E42024">
            <w:pPr>
              <w:spacing w:before="60" w:after="60" w:line="240" w:lineRule="auto"/>
              <w:rPr>
                <w:rFonts w:ascii="Arial" w:eastAsia="Times New Roman" w:hAnsi="Arial" w:cs="Arial"/>
                <w:sz w:val="20"/>
                <w:szCs w:val="20"/>
                <w:lang w:eastAsia="en-GB"/>
              </w:rPr>
            </w:pPr>
            <w:r w:rsidRPr="00E42024">
              <w:rPr>
                <w:rFonts w:ascii="Arial" w:eastAsia="Times New Roman" w:hAnsi="Arial" w:cs="Arial"/>
                <w:sz w:val="20"/>
                <w:szCs w:val="20"/>
                <w:lang w:eastAsia="en-GB"/>
              </w:rPr>
              <w:t>Doncaster Culture &amp; Leisure Trust</w:t>
            </w:r>
          </w:p>
        </w:tc>
        <w:tc>
          <w:tcPr>
            <w:tcW w:w="1276" w:type="dxa"/>
            <w:tcBorders>
              <w:top w:val="nil"/>
              <w:bottom w:val="nil"/>
            </w:tcBorders>
            <w:shd w:val="pct12" w:color="auto" w:fill="auto"/>
            <w:hideMark/>
          </w:tcPr>
          <w:p w14:paraId="360E0BAE" w14:textId="77777777" w:rsidR="00E42024" w:rsidRPr="00E42024" w:rsidRDefault="00E42024" w:rsidP="00E42024">
            <w:pPr>
              <w:spacing w:before="60" w:after="60" w:line="240" w:lineRule="auto"/>
              <w:jc w:val="right"/>
              <w:rPr>
                <w:rFonts w:ascii="Arial" w:eastAsia="Times New Roman" w:hAnsi="Arial" w:cs="Arial"/>
                <w:sz w:val="20"/>
                <w:szCs w:val="20"/>
                <w:lang w:eastAsia="en-GB"/>
              </w:rPr>
            </w:pPr>
            <w:r w:rsidRPr="00E42024">
              <w:rPr>
                <w:rFonts w:ascii="Arial" w:eastAsia="Times New Roman" w:hAnsi="Arial" w:cs="Arial"/>
                <w:sz w:val="20"/>
                <w:szCs w:val="20"/>
                <w:lang w:eastAsia="en-GB"/>
              </w:rPr>
              <w:t>Year</w:t>
            </w:r>
          </w:p>
        </w:tc>
        <w:tc>
          <w:tcPr>
            <w:tcW w:w="1676" w:type="dxa"/>
            <w:hideMark/>
          </w:tcPr>
          <w:p w14:paraId="53E2E887" w14:textId="0F2D3318" w:rsidR="00E42024" w:rsidRPr="00E42024" w:rsidRDefault="00E42024" w:rsidP="00E42024">
            <w:pPr>
              <w:spacing w:before="60" w:after="60" w:line="240" w:lineRule="auto"/>
              <w:rPr>
                <w:rFonts w:ascii="Arial" w:eastAsia="Times New Roman" w:hAnsi="Arial" w:cs="Arial"/>
                <w:sz w:val="20"/>
                <w:szCs w:val="20"/>
                <w:lang w:eastAsia="en-GB"/>
              </w:rPr>
            </w:pPr>
            <w:r w:rsidRPr="00E42024">
              <w:rPr>
                <w:rFonts w:ascii="Arial" w:eastAsia="Times New Roman" w:hAnsi="Arial" w:cs="Arial"/>
                <w:sz w:val="20"/>
                <w:szCs w:val="20"/>
                <w:lang w:eastAsia="en-GB"/>
              </w:rPr>
              <w:t>20</w:t>
            </w:r>
            <w:r>
              <w:rPr>
                <w:rFonts w:ascii="Arial" w:eastAsia="Times New Roman" w:hAnsi="Arial" w:cs="Arial"/>
                <w:sz w:val="20"/>
                <w:szCs w:val="20"/>
                <w:lang w:eastAsia="en-GB"/>
              </w:rPr>
              <w:t>2</w:t>
            </w:r>
            <w:r w:rsidR="00F960EF">
              <w:rPr>
                <w:rFonts w:ascii="Arial" w:eastAsia="Times New Roman" w:hAnsi="Arial" w:cs="Arial"/>
                <w:sz w:val="20"/>
                <w:szCs w:val="20"/>
                <w:lang w:eastAsia="en-GB"/>
              </w:rPr>
              <w:t>2</w:t>
            </w:r>
          </w:p>
        </w:tc>
        <w:tc>
          <w:tcPr>
            <w:tcW w:w="239" w:type="dxa"/>
            <w:tcBorders>
              <w:top w:val="nil"/>
              <w:bottom w:val="nil"/>
            </w:tcBorders>
            <w:shd w:val="clear" w:color="auto" w:fill="E0E0E0"/>
          </w:tcPr>
          <w:p w14:paraId="42FF6679" w14:textId="77777777" w:rsidR="00E42024" w:rsidRPr="00E42024" w:rsidRDefault="00E42024" w:rsidP="00E42024">
            <w:pPr>
              <w:spacing w:before="60" w:after="60" w:line="240" w:lineRule="auto"/>
              <w:rPr>
                <w:rFonts w:ascii="Arial" w:eastAsia="Times New Roman" w:hAnsi="Arial" w:cs="Arial"/>
                <w:sz w:val="20"/>
                <w:szCs w:val="20"/>
                <w:lang w:eastAsia="en-GB"/>
              </w:rPr>
            </w:pPr>
          </w:p>
        </w:tc>
      </w:tr>
      <w:bookmarkEnd w:id="0"/>
      <w:tr w:rsidR="00E42024" w:rsidRPr="00E42024" w14:paraId="7228B5F7" w14:textId="77777777" w:rsidTr="00152C4F">
        <w:trPr>
          <w:trHeight w:val="85"/>
        </w:trPr>
        <w:tc>
          <w:tcPr>
            <w:tcW w:w="9675" w:type="dxa"/>
            <w:gridSpan w:val="5"/>
            <w:tcBorders>
              <w:top w:val="nil"/>
            </w:tcBorders>
            <w:shd w:val="pct12" w:color="auto" w:fill="auto"/>
            <w:vAlign w:val="center"/>
          </w:tcPr>
          <w:p w14:paraId="51BA4653" w14:textId="77777777" w:rsidR="00E42024" w:rsidRPr="00E42024" w:rsidRDefault="00E42024" w:rsidP="00E42024">
            <w:pPr>
              <w:spacing w:before="60" w:after="60" w:line="240" w:lineRule="auto"/>
              <w:rPr>
                <w:rFonts w:ascii="Arial" w:eastAsia="Times New Roman" w:hAnsi="Arial" w:cs="Arial"/>
                <w:sz w:val="20"/>
                <w:szCs w:val="20"/>
                <w:lang w:eastAsia="en-GB"/>
              </w:rPr>
            </w:pPr>
          </w:p>
        </w:tc>
      </w:tr>
      <w:tr w:rsidR="00E42024" w:rsidRPr="00E42024" w14:paraId="3FA969FE" w14:textId="77777777" w:rsidTr="00152C4F">
        <w:tc>
          <w:tcPr>
            <w:tcW w:w="2233" w:type="dxa"/>
            <w:shd w:val="pct12" w:color="auto" w:fill="auto"/>
            <w:hideMark/>
          </w:tcPr>
          <w:p w14:paraId="1ED9C070" w14:textId="77777777" w:rsidR="00E42024" w:rsidRPr="00E42024" w:rsidRDefault="00E42024" w:rsidP="00E42024">
            <w:pPr>
              <w:spacing w:before="60" w:after="60" w:line="240" w:lineRule="auto"/>
              <w:rPr>
                <w:rFonts w:ascii="Arial" w:eastAsia="Times New Roman" w:hAnsi="Arial" w:cs="Arial"/>
                <w:sz w:val="20"/>
                <w:szCs w:val="20"/>
                <w:lang w:eastAsia="en-GB"/>
              </w:rPr>
            </w:pPr>
            <w:r w:rsidRPr="00E42024">
              <w:rPr>
                <w:rFonts w:ascii="Arial" w:eastAsia="Times New Roman" w:hAnsi="Arial" w:cs="Arial"/>
                <w:sz w:val="20"/>
                <w:szCs w:val="20"/>
                <w:lang w:eastAsia="en-GB"/>
              </w:rPr>
              <w:t>Introduction</w:t>
            </w:r>
          </w:p>
        </w:tc>
        <w:tc>
          <w:tcPr>
            <w:tcW w:w="7442" w:type="dxa"/>
            <w:gridSpan w:val="4"/>
            <w:shd w:val="pct12" w:color="auto" w:fill="auto"/>
            <w:hideMark/>
          </w:tcPr>
          <w:p w14:paraId="1607ADF6" w14:textId="6D29C9CA" w:rsidR="00E42024" w:rsidRPr="00E42024" w:rsidRDefault="00E42024" w:rsidP="00B0504D">
            <w:pPr>
              <w:spacing w:before="60" w:after="60" w:line="240" w:lineRule="auto"/>
              <w:rPr>
                <w:rFonts w:ascii="Arial" w:eastAsia="Times New Roman" w:hAnsi="Arial" w:cs="Arial"/>
                <w:b/>
                <w:sz w:val="20"/>
                <w:szCs w:val="20"/>
                <w:lang w:eastAsia="en-GB"/>
              </w:rPr>
            </w:pPr>
            <w:r w:rsidRPr="00E42024">
              <w:rPr>
                <w:rFonts w:ascii="Arial" w:eastAsia="Times New Roman" w:hAnsi="Arial" w:cs="Arial"/>
                <w:sz w:val="20"/>
                <w:szCs w:val="20"/>
              </w:rPr>
              <w:t xml:space="preserve">Employers with 250 or more employees are legally required to publish, on an annual basis, certain information relating to their gender pay gap. This statement sets out the relevant information for </w:t>
            </w:r>
            <w:r w:rsidRPr="00E42024">
              <w:rPr>
                <w:rFonts w:ascii="Arial" w:eastAsia="Times New Roman" w:hAnsi="Arial" w:cs="Arial"/>
                <w:sz w:val="20"/>
                <w:szCs w:val="20"/>
                <w:lang w:eastAsia="en-GB"/>
              </w:rPr>
              <w:t>Doncaster Culture &amp; Leisure Trust</w:t>
            </w:r>
            <w:r w:rsidRPr="00E42024">
              <w:rPr>
                <w:rFonts w:ascii="Arial" w:eastAsia="Times New Roman" w:hAnsi="Arial" w:cs="Arial"/>
                <w:sz w:val="20"/>
                <w:szCs w:val="20"/>
              </w:rPr>
              <w:t xml:space="preserve">, for the period </w:t>
            </w:r>
            <w:r w:rsidR="000C5865">
              <w:rPr>
                <w:rFonts w:ascii="Arial" w:eastAsia="Times New Roman" w:hAnsi="Arial" w:cs="Arial"/>
                <w:sz w:val="20"/>
                <w:szCs w:val="20"/>
                <w:lang w:eastAsia="en-GB"/>
              </w:rPr>
              <w:t>5</w:t>
            </w:r>
            <w:r w:rsidR="000C5865" w:rsidRPr="000C5865">
              <w:rPr>
                <w:rFonts w:ascii="Arial" w:eastAsia="Times New Roman" w:hAnsi="Arial" w:cs="Arial"/>
                <w:sz w:val="20"/>
                <w:szCs w:val="20"/>
                <w:vertAlign w:val="superscript"/>
                <w:lang w:eastAsia="en-GB"/>
              </w:rPr>
              <w:t>th</w:t>
            </w:r>
            <w:r w:rsidR="000C5865">
              <w:rPr>
                <w:rFonts w:ascii="Arial" w:eastAsia="Times New Roman" w:hAnsi="Arial" w:cs="Arial"/>
                <w:sz w:val="20"/>
                <w:szCs w:val="20"/>
                <w:lang w:eastAsia="en-GB"/>
              </w:rPr>
              <w:t xml:space="preserve"> April </w:t>
            </w:r>
            <w:r w:rsidR="00E14CCC">
              <w:rPr>
                <w:rFonts w:ascii="Arial" w:eastAsia="Times New Roman" w:hAnsi="Arial" w:cs="Arial"/>
                <w:sz w:val="20"/>
                <w:szCs w:val="20"/>
                <w:lang w:eastAsia="en-GB"/>
              </w:rPr>
              <w:t>202</w:t>
            </w:r>
            <w:r w:rsidR="00A447AD">
              <w:rPr>
                <w:rFonts w:ascii="Arial" w:eastAsia="Times New Roman" w:hAnsi="Arial" w:cs="Arial"/>
                <w:sz w:val="20"/>
                <w:szCs w:val="20"/>
                <w:lang w:eastAsia="en-GB"/>
              </w:rPr>
              <w:t>2</w:t>
            </w:r>
            <w:r w:rsidR="00B0504D">
              <w:rPr>
                <w:rFonts w:ascii="Arial" w:eastAsia="Times New Roman" w:hAnsi="Arial" w:cs="Arial"/>
                <w:sz w:val="20"/>
                <w:szCs w:val="20"/>
                <w:lang w:eastAsia="en-GB"/>
              </w:rPr>
              <w:t xml:space="preserve">.  </w:t>
            </w:r>
            <w:r w:rsidRPr="00E42024">
              <w:rPr>
                <w:rFonts w:ascii="Arial" w:eastAsia="Times New Roman" w:hAnsi="Arial" w:cs="Arial"/>
                <w:sz w:val="20"/>
                <w:szCs w:val="20"/>
              </w:rPr>
              <w:t xml:space="preserve">This information has been calculated in accordance with the requirements of the gender pay gap regulations. </w:t>
            </w:r>
            <w:r w:rsidR="00233D0F">
              <w:rPr>
                <w:rFonts w:ascii="Arial" w:eastAsia="Times New Roman" w:hAnsi="Arial" w:cs="Arial"/>
                <w:sz w:val="20"/>
                <w:szCs w:val="20"/>
              </w:rPr>
              <w:t xml:space="preserve">For this year, DCLT had less employees included in the report due to the COVID Pandemic and the </w:t>
            </w:r>
            <w:r w:rsidR="009D3A79">
              <w:rPr>
                <w:rFonts w:ascii="Arial" w:eastAsia="Times New Roman" w:hAnsi="Arial" w:cs="Arial"/>
                <w:sz w:val="20"/>
                <w:szCs w:val="20"/>
              </w:rPr>
              <w:t>number</w:t>
            </w:r>
            <w:r w:rsidR="00233D0F">
              <w:rPr>
                <w:rFonts w:ascii="Arial" w:eastAsia="Times New Roman" w:hAnsi="Arial" w:cs="Arial"/>
                <w:sz w:val="20"/>
                <w:szCs w:val="20"/>
              </w:rPr>
              <w:t xml:space="preserve"> of employees on furlough </w:t>
            </w:r>
            <w:r w:rsidR="009D3A79">
              <w:rPr>
                <w:rFonts w:ascii="Arial" w:eastAsia="Times New Roman" w:hAnsi="Arial" w:cs="Arial"/>
                <w:sz w:val="20"/>
                <w:szCs w:val="20"/>
              </w:rPr>
              <w:t xml:space="preserve">under the Coronavirus Job Retention Scheme </w:t>
            </w:r>
            <w:r w:rsidR="00233D0F">
              <w:rPr>
                <w:rFonts w:ascii="Arial" w:eastAsia="Times New Roman" w:hAnsi="Arial" w:cs="Arial"/>
                <w:sz w:val="20"/>
                <w:szCs w:val="20"/>
              </w:rPr>
              <w:t>and therefore not included in this report.</w:t>
            </w:r>
          </w:p>
        </w:tc>
      </w:tr>
      <w:tr w:rsidR="00E42024" w:rsidRPr="00E42024" w14:paraId="377B4EEE" w14:textId="77777777" w:rsidTr="00152C4F">
        <w:tc>
          <w:tcPr>
            <w:tcW w:w="2233" w:type="dxa"/>
            <w:shd w:val="pct12" w:color="auto" w:fill="auto"/>
            <w:hideMark/>
          </w:tcPr>
          <w:p w14:paraId="615414E1" w14:textId="77777777" w:rsidR="00E42024" w:rsidRPr="00E42024" w:rsidRDefault="00E42024" w:rsidP="00E42024">
            <w:pPr>
              <w:spacing w:before="60" w:after="60" w:line="240" w:lineRule="auto"/>
              <w:rPr>
                <w:rFonts w:ascii="Arial" w:eastAsia="Times New Roman" w:hAnsi="Arial" w:cs="Arial"/>
                <w:sz w:val="20"/>
                <w:szCs w:val="20"/>
                <w:lang w:eastAsia="en-GB"/>
              </w:rPr>
            </w:pPr>
            <w:r w:rsidRPr="00E42024">
              <w:rPr>
                <w:rFonts w:ascii="Arial" w:eastAsia="Times New Roman" w:hAnsi="Arial" w:cs="Arial"/>
                <w:sz w:val="20"/>
                <w:szCs w:val="20"/>
                <w:lang w:eastAsia="en-GB"/>
              </w:rPr>
              <w:t>The gender pay gap</w:t>
            </w:r>
          </w:p>
        </w:tc>
        <w:tc>
          <w:tcPr>
            <w:tcW w:w="7442" w:type="dxa"/>
            <w:gridSpan w:val="4"/>
            <w:shd w:val="pct12" w:color="auto" w:fill="auto"/>
            <w:hideMark/>
          </w:tcPr>
          <w:p w14:paraId="71B1F33F" w14:textId="77777777" w:rsidR="00E42024" w:rsidRPr="00E42024" w:rsidRDefault="00E42024" w:rsidP="00E42024">
            <w:pPr>
              <w:spacing w:before="60" w:after="60" w:line="240" w:lineRule="auto"/>
              <w:rPr>
                <w:rFonts w:ascii="Arial" w:eastAsia="Times New Roman" w:hAnsi="Arial" w:cs="Arial"/>
                <w:sz w:val="20"/>
                <w:szCs w:val="20"/>
              </w:rPr>
            </w:pPr>
            <w:r w:rsidRPr="00E42024">
              <w:rPr>
                <w:rFonts w:ascii="Arial" w:eastAsia="Times New Roman" w:hAnsi="Arial" w:cs="Arial"/>
                <w:sz w:val="20"/>
                <w:szCs w:val="20"/>
              </w:rPr>
              <w:t xml:space="preserve">The gender pay gap is the difference between the average pay of men and women, expressed as a percentage. The gender pay gap is different from equal pay. Equal pay is concerned with pay differences between </w:t>
            </w:r>
            <w:r w:rsidRPr="00E42024">
              <w:rPr>
                <w:rFonts w:ascii="Arial" w:eastAsia="Times New Roman" w:hAnsi="Arial" w:cs="Arial"/>
                <w:bCs/>
                <w:sz w:val="20"/>
                <w:szCs w:val="20"/>
              </w:rPr>
              <w:t xml:space="preserve">men and women who carry out the same jobs, similar jobs </w:t>
            </w:r>
            <w:r w:rsidRPr="00E42024">
              <w:rPr>
                <w:rFonts w:ascii="Arial" w:eastAsia="Times New Roman" w:hAnsi="Arial" w:cs="Arial"/>
                <w:sz w:val="20"/>
                <w:szCs w:val="20"/>
              </w:rPr>
              <w:t xml:space="preserve">or </w:t>
            </w:r>
            <w:r w:rsidRPr="00E42024">
              <w:rPr>
                <w:rFonts w:ascii="Arial" w:eastAsia="Times New Roman" w:hAnsi="Arial" w:cs="Arial"/>
                <w:bCs/>
                <w:sz w:val="20"/>
                <w:szCs w:val="20"/>
              </w:rPr>
              <w:t>work of equal value. I</w:t>
            </w:r>
            <w:r w:rsidRPr="00E42024">
              <w:rPr>
                <w:rFonts w:ascii="Arial" w:eastAsia="Times New Roman" w:hAnsi="Arial" w:cs="Arial"/>
                <w:sz w:val="20"/>
                <w:szCs w:val="20"/>
              </w:rPr>
              <w:t>t is unlawful to pay people unequally because they are a man or a woman.</w:t>
            </w:r>
          </w:p>
          <w:p w14:paraId="52CDAD39" w14:textId="77777777" w:rsidR="00E42024" w:rsidRPr="00E42024" w:rsidRDefault="00E42024" w:rsidP="00E42024">
            <w:pPr>
              <w:spacing w:before="60" w:after="60" w:line="240" w:lineRule="auto"/>
              <w:rPr>
                <w:rFonts w:ascii="Arial" w:eastAsia="Times New Roman" w:hAnsi="Arial" w:cs="Arial"/>
                <w:b/>
                <w:sz w:val="20"/>
                <w:szCs w:val="20"/>
                <w:lang w:eastAsia="en-GB"/>
              </w:rPr>
            </w:pPr>
            <w:r w:rsidRPr="00E42024">
              <w:rPr>
                <w:rFonts w:ascii="Arial" w:eastAsia="Times New Roman" w:hAnsi="Arial" w:cs="Arial"/>
                <w:sz w:val="20"/>
                <w:szCs w:val="20"/>
              </w:rPr>
              <w:t>There are many factors which contribute to, or cause, a gender pay gap, and these will vary between different employers. Some relate to wider society, such as the type of career choices men and women have typically tended to make, and some may be specific to a particular organisation. We have set out in this statement the main factors we consider are contributing to our gender pay gap.</w:t>
            </w:r>
          </w:p>
        </w:tc>
      </w:tr>
      <w:tr w:rsidR="00E42024" w:rsidRPr="00E42024" w14:paraId="7B377E5F" w14:textId="77777777" w:rsidTr="00152C4F">
        <w:tc>
          <w:tcPr>
            <w:tcW w:w="2233" w:type="dxa"/>
            <w:shd w:val="pct12" w:color="auto" w:fill="auto"/>
            <w:hideMark/>
          </w:tcPr>
          <w:p w14:paraId="108FD788" w14:textId="77777777" w:rsidR="00E42024" w:rsidRPr="00E42024" w:rsidRDefault="00E42024" w:rsidP="00E42024">
            <w:pPr>
              <w:spacing w:before="60" w:after="60" w:line="240" w:lineRule="auto"/>
              <w:rPr>
                <w:rFonts w:ascii="Arial" w:eastAsia="Times New Roman" w:hAnsi="Arial" w:cs="Arial"/>
                <w:sz w:val="20"/>
                <w:szCs w:val="20"/>
                <w:lang w:eastAsia="en-GB"/>
              </w:rPr>
            </w:pPr>
            <w:r w:rsidRPr="00E42024">
              <w:rPr>
                <w:rFonts w:ascii="Arial" w:eastAsia="Times New Roman" w:hAnsi="Arial" w:cs="Arial"/>
                <w:sz w:val="20"/>
                <w:szCs w:val="20"/>
                <w:lang w:eastAsia="en-GB"/>
              </w:rPr>
              <w:t>Organisational context</w:t>
            </w:r>
          </w:p>
        </w:tc>
        <w:tc>
          <w:tcPr>
            <w:tcW w:w="7442" w:type="dxa"/>
            <w:gridSpan w:val="4"/>
            <w:shd w:val="pct12" w:color="auto" w:fill="auto"/>
            <w:hideMark/>
          </w:tcPr>
          <w:p w14:paraId="794C326D" w14:textId="77777777" w:rsidR="00E42024" w:rsidRPr="00E42024" w:rsidRDefault="00E42024" w:rsidP="00E42024">
            <w:pPr>
              <w:overflowPunct w:val="0"/>
              <w:autoSpaceDE w:val="0"/>
              <w:autoSpaceDN w:val="0"/>
              <w:adjustRightInd w:val="0"/>
              <w:spacing w:after="0" w:line="240" w:lineRule="auto"/>
              <w:rPr>
                <w:rFonts w:ascii="Arial" w:eastAsia="Times New Roman" w:hAnsi="Arial" w:cs="Arial"/>
                <w:color w:val="000000" w:themeColor="text1"/>
                <w:sz w:val="20"/>
                <w:szCs w:val="20"/>
                <w:lang w:eastAsia="en-GB"/>
              </w:rPr>
            </w:pPr>
            <w:r w:rsidRPr="00E42024">
              <w:rPr>
                <w:rFonts w:ascii="Arial" w:eastAsia="Times New Roman" w:hAnsi="Arial" w:cs="Arial"/>
                <w:color w:val="000000" w:themeColor="text1"/>
                <w:sz w:val="20"/>
                <w:szCs w:val="20"/>
                <w:lang w:eastAsia="en-GB"/>
              </w:rPr>
              <w:t xml:space="preserve">Doncaster Culture and Leisure Trust (DCLT) is a registered charity delivering premier leisure and culture provision across Doncaster, offering a diverse range of health, fitness, and leisure and entertainment activities to encourage and achieve a healthier community. </w:t>
            </w:r>
          </w:p>
        </w:tc>
      </w:tr>
      <w:tr w:rsidR="00E42024" w:rsidRPr="00E42024" w14:paraId="4D6ACE9F" w14:textId="77777777" w:rsidTr="00152C4F">
        <w:tc>
          <w:tcPr>
            <w:tcW w:w="2233" w:type="dxa"/>
            <w:shd w:val="pct12" w:color="auto" w:fill="auto"/>
            <w:hideMark/>
          </w:tcPr>
          <w:p w14:paraId="1AF80F9B" w14:textId="77777777" w:rsidR="00E42024" w:rsidRPr="00E42024" w:rsidRDefault="00E42024" w:rsidP="00E42024">
            <w:pPr>
              <w:spacing w:before="60" w:after="60" w:line="240" w:lineRule="auto"/>
              <w:rPr>
                <w:rFonts w:ascii="Arial" w:eastAsia="Times New Roman" w:hAnsi="Arial" w:cs="Arial"/>
                <w:sz w:val="20"/>
                <w:szCs w:val="20"/>
                <w:lang w:eastAsia="en-GB"/>
              </w:rPr>
            </w:pPr>
            <w:r w:rsidRPr="00E42024">
              <w:rPr>
                <w:rFonts w:ascii="Arial" w:eastAsia="Times New Roman" w:hAnsi="Arial" w:cs="Arial"/>
                <w:sz w:val="20"/>
                <w:szCs w:val="20"/>
                <w:lang w:eastAsia="en-GB"/>
              </w:rPr>
              <w:t>Equality and diversity</w:t>
            </w:r>
          </w:p>
        </w:tc>
        <w:tc>
          <w:tcPr>
            <w:tcW w:w="7442" w:type="dxa"/>
            <w:gridSpan w:val="4"/>
            <w:shd w:val="pct12" w:color="auto" w:fill="auto"/>
            <w:hideMark/>
          </w:tcPr>
          <w:p w14:paraId="397B61FC" w14:textId="77777777" w:rsidR="00E42024" w:rsidRPr="00E42024" w:rsidRDefault="00E42024" w:rsidP="00E42024">
            <w:pPr>
              <w:spacing w:before="60" w:after="60" w:line="240" w:lineRule="auto"/>
              <w:rPr>
                <w:rFonts w:ascii="Arial" w:eastAsia="Times New Roman" w:hAnsi="Arial" w:cs="Arial"/>
                <w:b/>
                <w:sz w:val="20"/>
                <w:szCs w:val="20"/>
                <w:lang w:eastAsia="en-GB"/>
              </w:rPr>
            </w:pPr>
            <w:r w:rsidRPr="00E42024">
              <w:rPr>
                <w:rFonts w:ascii="Arial" w:eastAsia="Times New Roman" w:hAnsi="Arial" w:cs="Arial"/>
                <w:sz w:val="20"/>
                <w:szCs w:val="20"/>
                <w:lang w:eastAsia="en-GB"/>
              </w:rPr>
              <w:t>Doncaster Culture &amp; Leisure Trust</w:t>
            </w:r>
            <w:r w:rsidRPr="00E42024">
              <w:rPr>
                <w:rFonts w:ascii="Arial" w:eastAsia="Times New Roman" w:hAnsi="Arial" w:cs="Arial"/>
                <w:i/>
                <w:sz w:val="20"/>
                <w:szCs w:val="20"/>
              </w:rPr>
              <w:t xml:space="preserve"> </w:t>
            </w:r>
            <w:r w:rsidRPr="00E42024">
              <w:rPr>
                <w:rFonts w:ascii="Arial" w:eastAsia="Times New Roman" w:hAnsi="Arial" w:cs="Arial"/>
                <w:sz w:val="20"/>
                <w:szCs w:val="20"/>
              </w:rPr>
              <w:t xml:space="preserve">aims to be a fair and progressive employer and is committed to tackling inequality and promoting diversity. Its employment arrangements comply with all relevant equality legislation and codes of practice and are regularly monitored to ensure no discrimination or other unfairness occurs. </w:t>
            </w:r>
          </w:p>
        </w:tc>
      </w:tr>
      <w:tr w:rsidR="00E42024" w:rsidRPr="00E42024" w14:paraId="07AA5998" w14:textId="77777777" w:rsidTr="00152C4F">
        <w:tc>
          <w:tcPr>
            <w:tcW w:w="2233" w:type="dxa"/>
            <w:shd w:val="pct12" w:color="auto" w:fill="auto"/>
            <w:hideMark/>
          </w:tcPr>
          <w:p w14:paraId="15858DF2" w14:textId="77777777" w:rsidR="00E42024" w:rsidRPr="00E42024" w:rsidRDefault="00E42024" w:rsidP="00E42024">
            <w:pPr>
              <w:spacing w:before="60" w:after="60" w:line="240" w:lineRule="auto"/>
              <w:rPr>
                <w:rFonts w:ascii="Arial" w:eastAsia="Times New Roman" w:hAnsi="Arial" w:cs="Arial"/>
                <w:sz w:val="20"/>
                <w:szCs w:val="20"/>
                <w:lang w:eastAsia="en-GB"/>
              </w:rPr>
            </w:pPr>
            <w:r w:rsidRPr="00E42024">
              <w:rPr>
                <w:rFonts w:ascii="Arial" w:eastAsia="Times New Roman" w:hAnsi="Arial" w:cs="Arial"/>
                <w:sz w:val="20"/>
                <w:szCs w:val="20"/>
                <w:lang w:eastAsia="en-GB"/>
              </w:rPr>
              <w:t>Pay and reward</w:t>
            </w:r>
          </w:p>
        </w:tc>
        <w:tc>
          <w:tcPr>
            <w:tcW w:w="7442" w:type="dxa"/>
            <w:gridSpan w:val="4"/>
            <w:shd w:val="pct12" w:color="auto" w:fill="auto"/>
            <w:hideMark/>
          </w:tcPr>
          <w:p w14:paraId="3FA32AC5" w14:textId="77777777" w:rsidR="00E42024" w:rsidRPr="00E42024" w:rsidRDefault="00E42024" w:rsidP="00E42024">
            <w:pPr>
              <w:spacing w:before="60" w:after="60" w:line="240" w:lineRule="auto"/>
              <w:rPr>
                <w:rFonts w:ascii="Arial" w:eastAsia="Times New Roman" w:hAnsi="Arial" w:cs="Arial"/>
                <w:sz w:val="20"/>
                <w:szCs w:val="20"/>
              </w:rPr>
            </w:pPr>
            <w:r w:rsidRPr="00E42024">
              <w:rPr>
                <w:rFonts w:ascii="Arial" w:eastAsia="Times New Roman" w:hAnsi="Arial" w:cs="Arial"/>
                <w:sz w:val="20"/>
                <w:szCs w:val="20"/>
                <w:lang w:eastAsia="en-GB"/>
              </w:rPr>
              <w:t>Doncaster Culture &amp; Leisure Trust</w:t>
            </w:r>
            <w:r w:rsidRPr="00E42024">
              <w:rPr>
                <w:rFonts w:ascii="Arial" w:eastAsia="Times New Roman" w:hAnsi="Arial" w:cs="Arial"/>
                <w:i/>
                <w:sz w:val="20"/>
                <w:szCs w:val="20"/>
              </w:rPr>
              <w:t xml:space="preserve">’s </w:t>
            </w:r>
            <w:r w:rsidRPr="00E42024">
              <w:rPr>
                <w:rFonts w:ascii="Arial" w:eastAsia="Times New Roman" w:hAnsi="Arial" w:cs="Arial"/>
                <w:sz w:val="20"/>
                <w:szCs w:val="20"/>
              </w:rPr>
              <w:t xml:space="preserve">pay arrangements aim to fairly reward staff contribution and performance, taking into account economic/financial considerations, organisational performance and the pay rates of similar roles in the wider economy. </w:t>
            </w:r>
          </w:p>
          <w:p w14:paraId="71ACA7B2" w14:textId="77777777" w:rsidR="00E42024" w:rsidRPr="00E42024" w:rsidRDefault="00E42024" w:rsidP="00E42024">
            <w:pPr>
              <w:spacing w:before="60" w:after="60" w:line="240" w:lineRule="auto"/>
              <w:rPr>
                <w:rFonts w:ascii="Arial" w:eastAsia="Times New Roman" w:hAnsi="Arial" w:cs="Arial"/>
                <w:i/>
                <w:sz w:val="20"/>
                <w:szCs w:val="20"/>
              </w:rPr>
            </w:pPr>
            <w:r w:rsidRPr="00E42024">
              <w:rPr>
                <w:rFonts w:ascii="Arial" w:eastAsia="Times New Roman" w:hAnsi="Arial" w:cs="Arial"/>
                <w:sz w:val="20"/>
                <w:szCs w:val="20"/>
                <w:lang w:eastAsia="en-GB"/>
              </w:rPr>
              <w:t>Doncaster Culture &amp; Leisure Trust does not pay any bonuses.</w:t>
            </w:r>
          </w:p>
        </w:tc>
      </w:tr>
      <w:tr w:rsidR="00E42024" w:rsidRPr="00E42024" w14:paraId="34E12A05" w14:textId="77777777" w:rsidTr="00152C4F">
        <w:tc>
          <w:tcPr>
            <w:tcW w:w="2233" w:type="dxa"/>
            <w:shd w:val="pct12" w:color="auto" w:fill="auto"/>
            <w:hideMark/>
          </w:tcPr>
          <w:p w14:paraId="2D3BCE7F" w14:textId="77777777" w:rsidR="00E42024" w:rsidRPr="00E42024" w:rsidRDefault="00E42024" w:rsidP="00E42024">
            <w:pPr>
              <w:spacing w:before="60" w:after="60" w:line="240" w:lineRule="auto"/>
              <w:rPr>
                <w:rFonts w:ascii="Arial" w:eastAsia="Times New Roman" w:hAnsi="Arial" w:cs="Arial"/>
                <w:sz w:val="20"/>
                <w:szCs w:val="20"/>
                <w:lang w:eastAsia="en-GB"/>
              </w:rPr>
            </w:pPr>
            <w:r w:rsidRPr="00E42024">
              <w:rPr>
                <w:rFonts w:ascii="Arial" w:eastAsia="Times New Roman" w:hAnsi="Arial" w:cs="Arial"/>
                <w:sz w:val="20"/>
                <w:szCs w:val="20"/>
                <w:lang w:eastAsia="en-GB"/>
              </w:rPr>
              <w:t xml:space="preserve">Gender </w:t>
            </w:r>
            <w:proofErr w:type="gramStart"/>
            <w:r w:rsidRPr="00E42024">
              <w:rPr>
                <w:rFonts w:ascii="Arial" w:eastAsia="Times New Roman" w:hAnsi="Arial" w:cs="Arial"/>
                <w:sz w:val="20"/>
                <w:szCs w:val="20"/>
                <w:lang w:eastAsia="en-GB"/>
              </w:rPr>
              <w:t>pay</w:t>
            </w:r>
            <w:proofErr w:type="gramEnd"/>
            <w:r w:rsidRPr="00E42024">
              <w:rPr>
                <w:rFonts w:ascii="Arial" w:eastAsia="Times New Roman" w:hAnsi="Arial" w:cs="Arial"/>
                <w:sz w:val="20"/>
                <w:szCs w:val="20"/>
                <w:lang w:eastAsia="en-GB"/>
              </w:rPr>
              <w:t xml:space="preserve"> gap</w:t>
            </w:r>
          </w:p>
        </w:tc>
        <w:tc>
          <w:tcPr>
            <w:tcW w:w="7442" w:type="dxa"/>
            <w:gridSpan w:val="4"/>
            <w:shd w:val="pct12" w:color="auto" w:fill="auto"/>
            <w:hideMark/>
          </w:tcPr>
          <w:p w14:paraId="6A6DB367" w14:textId="77777777" w:rsidR="00E42024" w:rsidRPr="00E42024" w:rsidRDefault="00E42024" w:rsidP="00E42024">
            <w:pPr>
              <w:spacing w:before="60" w:after="60" w:line="240" w:lineRule="auto"/>
              <w:rPr>
                <w:rFonts w:ascii="Arial" w:eastAsia="Times New Roman" w:hAnsi="Arial" w:cs="Arial"/>
                <w:b/>
                <w:sz w:val="20"/>
                <w:szCs w:val="20"/>
              </w:rPr>
            </w:pPr>
            <w:r w:rsidRPr="00E42024">
              <w:rPr>
                <w:rFonts w:ascii="Arial" w:eastAsia="Times New Roman" w:hAnsi="Arial" w:cs="Arial"/>
                <w:b/>
                <w:sz w:val="20"/>
                <w:szCs w:val="20"/>
              </w:rPr>
              <w:t xml:space="preserve">The mean gender </w:t>
            </w:r>
            <w:proofErr w:type="gramStart"/>
            <w:r w:rsidRPr="00E42024">
              <w:rPr>
                <w:rFonts w:ascii="Arial" w:eastAsia="Times New Roman" w:hAnsi="Arial" w:cs="Arial"/>
                <w:b/>
                <w:sz w:val="20"/>
                <w:szCs w:val="20"/>
              </w:rPr>
              <w:t>pay</w:t>
            </w:r>
            <w:proofErr w:type="gramEnd"/>
            <w:r w:rsidRPr="00E42024">
              <w:rPr>
                <w:rFonts w:ascii="Arial" w:eastAsia="Times New Roman" w:hAnsi="Arial" w:cs="Arial"/>
                <w:b/>
                <w:sz w:val="20"/>
                <w:szCs w:val="20"/>
              </w:rPr>
              <w:t xml:space="preserve"> gap</w:t>
            </w:r>
          </w:p>
          <w:p w14:paraId="0D886B62" w14:textId="77777777" w:rsidR="00E42024" w:rsidRPr="00E42024" w:rsidRDefault="00E42024" w:rsidP="00E42024">
            <w:pPr>
              <w:spacing w:before="60" w:after="60" w:line="240" w:lineRule="auto"/>
              <w:rPr>
                <w:rFonts w:ascii="Arial" w:eastAsia="Times New Roman" w:hAnsi="Arial" w:cs="Arial"/>
                <w:sz w:val="20"/>
                <w:szCs w:val="20"/>
              </w:rPr>
            </w:pPr>
            <w:r w:rsidRPr="00E42024">
              <w:rPr>
                <w:rFonts w:ascii="Arial" w:eastAsia="Times New Roman" w:hAnsi="Arial" w:cs="Arial"/>
                <w:sz w:val="20"/>
                <w:szCs w:val="20"/>
              </w:rPr>
              <w:t>This figure shows the difference between the mean (average) hourly rate of pay of male and female employees in the relevant pay period, as a percentage.</w:t>
            </w:r>
          </w:p>
          <w:p w14:paraId="458C56D5" w14:textId="335640FF" w:rsidR="00E42024" w:rsidRPr="004B3FA2" w:rsidRDefault="00E42024" w:rsidP="00E42024">
            <w:pPr>
              <w:spacing w:before="60" w:after="60" w:line="240" w:lineRule="auto"/>
              <w:rPr>
                <w:rFonts w:ascii="Arial" w:eastAsia="Times New Roman" w:hAnsi="Arial" w:cs="Arial"/>
                <w:b/>
                <w:bCs/>
                <w:sz w:val="20"/>
                <w:szCs w:val="20"/>
              </w:rPr>
            </w:pPr>
            <w:r w:rsidRPr="00E42024">
              <w:rPr>
                <w:rFonts w:ascii="Arial" w:eastAsia="Times New Roman" w:hAnsi="Arial" w:cs="Arial"/>
                <w:sz w:val="20"/>
                <w:szCs w:val="20"/>
              </w:rPr>
              <w:t xml:space="preserve">Our mean gender pay gap is </w:t>
            </w:r>
            <w:r w:rsidR="006111E0" w:rsidRPr="004B3FA2">
              <w:rPr>
                <w:rFonts w:ascii="Arial" w:eastAsia="Times New Roman" w:hAnsi="Arial" w:cs="Arial"/>
                <w:b/>
                <w:bCs/>
                <w:sz w:val="20"/>
                <w:szCs w:val="20"/>
              </w:rPr>
              <w:t>-</w:t>
            </w:r>
            <w:r w:rsidR="00735DA9">
              <w:rPr>
                <w:rFonts w:ascii="Arial" w:eastAsia="Times New Roman" w:hAnsi="Arial" w:cs="Arial"/>
                <w:b/>
                <w:bCs/>
                <w:sz w:val="20"/>
                <w:szCs w:val="20"/>
              </w:rPr>
              <w:t>0.91</w:t>
            </w:r>
            <w:r w:rsidRPr="004B3FA2">
              <w:rPr>
                <w:rFonts w:ascii="Arial" w:eastAsia="Times New Roman" w:hAnsi="Arial" w:cs="Arial"/>
                <w:b/>
                <w:bCs/>
                <w:sz w:val="20"/>
                <w:szCs w:val="20"/>
              </w:rPr>
              <w:t>%.</w:t>
            </w:r>
          </w:p>
          <w:p w14:paraId="33EC071E" w14:textId="77777777" w:rsidR="00E42024" w:rsidRPr="00E42024" w:rsidRDefault="00E42024" w:rsidP="00E42024">
            <w:pPr>
              <w:spacing w:before="60" w:after="60" w:line="240" w:lineRule="auto"/>
              <w:rPr>
                <w:rFonts w:ascii="Arial" w:eastAsia="Times New Roman" w:hAnsi="Arial" w:cs="Arial"/>
                <w:b/>
                <w:sz w:val="20"/>
                <w:szCs w:val="20"/>
              </w:rPr>
            </w:pPr>
          </w:p>
          <w:p w14:paraId="00D9C64B" w14:textId="77777777" w:rsidR="00E42024" w:rsidRPr="00E42024" w:rsidRDefault="00E42024" w:rsidP="00E42024">
            <w:pPr>
              <w:spacing w:before="60" w:after="60" w:line="240" w:lineRule="auto"/>
              <w:rPr>
                <w:rFonts w:ascii="Arial" w:eastAsia="Times New Roman" w:hAnsi="Arial" w:cs="Arial"/>
                <w:b/>
                <w:sz w:val="20"/>
                <w:szCs w:val="20"/>
              </w:rPr>
            </w:pPr>
            <w:r w:rsidRPr="00E42024">
              <w:rPr>
                <w:rFonts w:ascii="Arial" w:eastAsia="Times New Roman" w:hAnsi="Arial" w:cs="Arial"/>
                <w:b/>
                <w:sz w:val="20"/>
                <w:szCs w:val="20"/>
              </w:rPr>
              <w:t xml:space="preserve">The median gender </w:t>
            </w:r>
            <w:proofErr w:type="gramStart"/>
            <w:r w:rsidRPr="00E42024">
              <w:rPr>
                <w:rFonts w:ascii="Arial" w:eastAsia="Times New Roman" w:hAnsi="Arial" w:cs="Arial"/>
                <w:b/>
                <w:sz w:val="20"/>
                <w:szCs w:val="20"/>
              </w:rPr>
              <w:t>pay</w:t>
            </w:r>
            <w:proofErr w:type="gramEnd"/>
            <w:r w:rsidRPr="00E42024">
              <w:rPr>
                <w:rFonts w:ascii="Arial" w:eastAsia="Times New Roman" w:hAnsi="Arial" w:cs="Arial"/>
                <w:b/>
                <w:sz w:val="20"/>
                <w:szCs w:val="20"/>
              </w:rPr>
              <w:t xml:space="preserve"> gap</w:t>
            </w:r>
          </w:p>
          <w:p w14:paraId="3D98EE28" w14:textId="77777777" w:rsidR="00E42024" w:rsidRPr="00E42024" w:rsidRDefault="00E42024" w:rsidP="00E42024">
            <w:pPr>
              <w:spacing w:before="60" w:after="60" w:line="240" w:lineRule="auto"/>
              <w:rPr>
                <w:rFonts w:ascii="Arial" w:eastAsia="Times New Roman" w:hAnsi="Arial" w:cs="Arial"/>
                <w:sz w:val="20"/>
                <w:szCs w:val="20"/>
              </w:rPr>
            </w:pPr>
            <w:r w:rsidRPr="00E42024">
              <w:rPr>
                <w:rFonts w:ascii="Arial" w:eastAsia="Times New Roman" w:hAnsi="Arial" w:cs="Arial"/>
                <w:sz w:val="20"/>
                <w:szCs w:val="20"/>
              </w:rPr>
              <w:t>This figure shows the difference between the median (mid-point) hourly rate of pay of male and female employees in the relevant pay period, as a percentage.</w:t>
            </w:r>
          </w:p>
          <w:p w14:paraId="2EF5563E" w14:textId="3BBF4210" w:rsidR="00E42024" w:rsidRPr="00E42024" w:rsidRDefault="00E42024" w:rsidP="00E42024">
            <w:pPr>
              <w:spacing w:before="60" w:after="60" w:line="240" w:lineRule="auto"/>
              <w:rPr>
                <w:rFonts w:ascii="Arial" w:eastAsia="Times New Roman" w:hAnsi="Arial" w:cs="Arial"/>
                <w:sz w:val="20"/>
                <w:szCs w:val="20"/>
              </w:rPr>
            </w:pPr>
            <w:r w:rsidRPr="00E42024">
              <w:rPr>
                <w:rFonts w:ascii="Arial" w:eastAsia="Times New Roman" w:hAnsi="Arial" w:cs="Arial"/>
                <w:sz w:val="20"/>
                <w:szCs w:val="20"/>
              </w:rPr>
              <w:t xml:space="preserve">Our median gender pay gap is </w:t>
            </w:r>
            <w:r w:rsidR="0061538A" w:rsidRPr="004B3FA2">
              <w:rPr>
                <w:rFonts w:ascii="Arial" w:eastAsia="Times New Roman" w:hAnsi="Arial" w:cs="Arial"/>
                <w:b/>
                <w:bCs/>
                <w:sz w:val="20"/>
                <w:szCs w:val="20"/>
              </w:rPr>
              <w:t>-</w:t>
            </w:r>
            <w:r w:rsidR="00735DA9">
              <w:rPr>
                <w:rFonts w:ascii="Arial" w:eastAsia="Times New Roman" w:hAnsi="Arial" w:cs="Arial"/>
                <w:b/>
                <w:bCs/>
                <w:sz w:val="20"/>
                <w:szCs w:val="20"/>
              </w:rPr>
              <w:t>4.43</w:t>
            </w:r>
            <w:r w:rsidRPr="004B3FA2">
              <w:rPr>
                <w:rFonts w:ascii="Arial" w:eastAsia="Times New Roman" w:hAnsi="Arial" w:cs="Arial"/>
                <w:b/>
                <w:bCs/>
                <w:sz w:val="20"/>
                <w:szCs w:val="20"/>
                <w:lang w:eastAsia="en-GB"/>
              </w:rPr>
              <w:t>%</w:t>
            </w:r>
          </w:p>
          <w:p w14:paraId="14FA4212" w14:textId="77777777" w:rsidR="00E42024" w:rsidRPr="00E42024" w:rsidRDefault="00E42024" w:rsidP="00E42024">
            <w:pPr>
              <w:spacing w:before="60" w:after="60" w:line="240" w:lineRule="auto"/>
              <w:rPr>
                <w:rFonts w:ascii="Arial" w:eastAsia="Times New Roman" w:hAnsi="Arial" w:cs="Arial"/>
                <w:sz w:val="20"/>
                <w:szCs w:val="20"/>
              </w:rPr>
            </w:pPr>
          </w:p>
          <w:p w14:paraId="5FC57332" w14:textId="5907C1D5" w:rsidR="00E42024" w:rsidRPr="00E42024" w:rsidRDefault="00E42024" w:rsidP="00E42024">
            <w:pPr>
              <w:spacing w:before="60" w:after="60" w:line="240" w:lineRule="auto"/>
              <w:rPr>
                <w:rFonts w:ascii="Arial" w:eastAsia="Times New Roman" w:hAnsi="Arial" w:cs="Arial"/>
                <w:sz w:val="20"/>
                <w:szCs w:val="20"/>
              </w:rPr>
            </w:pPr>
            <w:r w:rsidRPr="00E42024">
              <w:rPr>
                <w:rFonts w:ascii="Arial" w:eastAsia="Times New Roman" w:hAnsi="Arial" w:cs="Arial"/>
                <w:sz w:val="20"/>
                <w:szCs w:val="20"/>
              </w:rPr>
              <w:t>We consider the main reasons for the above</w:t>
            </w:r>
            <w:r w:rsidR="00C413FF">
              <w:rPr>
                <w:rFonts w:ascii="Arial" w:eastAsia="Times New Roman" w:hAnsi="Arial" w:cs="Arial"/>
                <w:sz w:val="20"/>
                <w:szCs w:val="20"/>
              </w:rPr>
              <w:t xml:space="preserve"> difference</w:t>
            </w:r>
            <w:r w:rsidRPr="00E42024">
              <w:rPr>
                <w:rFonts w:ascii="Arial" w:eastAsia="Times New Roman" w:hAnsi="Arial" w:cs="Arial"/>
                <w:sz w:val="20"/>
                <w:szCs w:val="20"/>
              </w:rPr>
              <w:t xml:space="preserve"> is due to the nature of some roles within the organisation appealing to females more than male employees, </w:t>
            </w:r>
            <w:proofErr w:type="gramStart"/>
            <w:r w:rsidRPr="00E42024">
              <w:rPr>
                <w:rFonts w:ascii="Arial" w:eastAsia="Times New Roman" w:hAnsi="Arial" w:cs="Arial"/>
                <w:sz w:val="20"/>
                <w:szCs w:val="20"/>
              </w:rPr>
              <w:t>e.g.</w:t>
            </w:r>
            <w:proofErr w:type="gramEnd"/>
            <w:r w:rsidRPr="00E42024">
              <w:rPr>
                <w:rFonts w:ascii="Arial" w:eastAsia="Times New Roman" w:hAnsi="Arial" w:cs="Arial"/>
                <w:sz w:val="20"/>
                <w:szCs w:val="20"/>
              </w:rPr>
              <w:t xml:space="preserve"> Fitness Class Instructors and Swimming Teachers.  These roles are paid in the upper quartile range.  </w:t>
            </w:r>
          </w:p>
        </w:tc>
      </w:tr>
    </w:tbl>
    <w:p w14:paraId="3D15C806" w14:textId="77777777" w:rsidR="00E42024" w:rsidRPr="00E42024" w:rsidRDefault="00E42024" w:rsidP="00E42024">
      <w:pPr>
        <w:spacing w:after="0" w:line="240" w:lineRule="auto"/>
        <w:rPr>
          <w:rFonts w:ascii="Times New Roman" w:eastAsia="Times New Roman" w:hAnsi="Times New Roman" w:cs="Times New Roman"/>
          <w:sz w:val="24"/>
          <w:szCs w:val="24"/>
          <w:lang w:eastAsia="en-GB"/>
        </w:rPr>
      </w:pPr>
      <w:r w:rsidRPr="00E42024">
        <w:rPr>
          <w:rFonts w:ascii="Times New Roman" w:eastAsia="Times New Roman" w:hAnsi="Times New Roman" w:cs="Times New Roman"/>
          <w:sz w:val="24"/>
          <w:szCs w:val="24"/>
          <w:lang w:eastAsia="en-GB"/>
        </w:rPr>
        <w:br w:type="page"/>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3"/>
        <w:gridCol w:w="1367"/>
        <w:gridCol w:w="615"/>
        <w:gridCol w:w="904"/>
        <w:gridCol w:w="1517"/>
        <w:gridCol w:w="190"/>
        <w:gridCol w:w="1328"/>
        <w:gridCol w:w="1282"/>
        <w:gridCol w:w="239"/>
      </w:tblGrid>
      <w:tr w:rsidR="00E42024" w:rsidRPr="00E42024" w14:paraId="5F80D0E4" w14:textId="77777777" w:rsidTr="00152C4F">
        <w:tc>
          <w:tcPr>
            <w:tcW w:w="2233" w:type="dxa"/>
            <w:shd w:val="pct12" w:color="auto" w:fill="auto"/>
            <w:hideMark/>
          </w:tcPr>
          <w:p w14:paraId="07A76F97" w14:textId="77777777" w:rsidR="00E42024" w:rsidRPr="00E42024" w:rsidRDefault="00E42024" w:rsidP="00E42024">
            <w:pPr>
              <w:spacing w:before="60" w:after="60" w:line="240" w:lineRule="auto"/>
              <w:rPr>
                <w:rFonts w:ascii="Arial" w:eastAsia="Times New Roman" w:hAnsi="Arial" w:cs="Arial"/>
                <w:sz w:val="20"/>
                <w:szCs w:val="20"/>
                <w:lang w:eastAsia="en-GB"/>
              </w:rPr>
            </w:pPr>
            <w:r w:rsidRPr="00E42024">
              <w:rPr>
                <w:rFonts w:ascii="Arial" w:eastAsia="Times New Roman" w:hAnsi="Arial" w:cs="Arial"/>
                <w:sz w:val="20"/>
                <w:szCs w:val="20"/>
                <w:lang w:eastAsia="en-GB"/>
              </w:rPr>
              <w:lastRenderedPageBreak/>
              <w:t>Gender bonus gap</w:t>
            </w:r>
          </w:p>
        </w:tc>
        <w:tc>
          <w:tcPr>
            <w:tcW w:w="7442" w:type="dxa"/>
            <w:gridSpan w:val="8"/>
            <w:shd w:val="pct12" w:color="auto" w:fill="auto"/>
            <w:hideMark/>
          </w:tcPr>
          <w:p w14:paraId="3D70AC6D" w14:textId="77777777" w:rsidR="00E42024" w:rsidRPr="00E42024" w:rsidRDefault="00E42024" w:rsidP="00E42024">
            <w:pPr>
              <w:spacing w:before="60" w:after="60" w:line="240" w:lineRule="auto"/>
              <w:rPr>
                <w:rFonts w:ascii="Arial" w:eastAsia="Times New Roman" w:hAnsi="Arial" w:cs="Arial"/>
                <w:sz w:val="20"/>
                <w:szCs w:val="20"/>
              </w:rPr>
            </w:pPr>
            <w:r w:rsidRPr="00E42024">
              <w:rPr>
                <w:rFonts w:ascii="Arial" w:eastAsia="Times New Roman" w:hAnsi="Arial" w:cs="Arial"/>
                <w:sz w:val="20"/>
                <w:szCs w:val="20"/>
              </w:rPr>
              <w:t xml:space="preserve">The mean bonus gender </w:t>
            </w:r>
            <w:proofErr w:type="gramStart"/>
            <w:r w:rsidRPr="00E42024">
              <w:rPr>
                <w:rFonts w:ascii="Arial" w:eastAsia="Times New Roman" w:hAnsi="Arial" w:cs="Arial"/>
                <w:sz w:val="20"/>
                <w:szCs w:val="20"/>
              </w:rPr>
              <w:t>pay</w:t>
            </w:r>
            <w:proofErr w:type="gramEnd"/>
            <w:r w:rsidRPr="00E42024">
              <w:rPr>
                <w:rFonts w:ascii="Arial" w:eastAsia="Times New Roman" w:hAnsi="Arial" w:cs="Arial"/>
                <w:sz w:val="20"/>
                <w:szCs w:val="20"/>
              </w:rPr>
              <w:t xml:space="preserve"> gap</w:t>
            </w:r>
          </w:p>
          <w:p w14:paraId="2693B0C2" w14:textId="77777777" w:rsidR="00E42024" w:rsidRPr="00E42024" w:rsidRDefault="00E42024" w:rsidP="00E42024">
            <w:pPr>
              <w:spacing w:before="60" w:after="60" w:line="240" w:lineRule="auto"/>
              <w:rPr>
                <w:rFonts w:ascii="Arial" w:eastAsia="Times New Roman" w:hAnsi="Arial" w:cs="Arial"/>
                <w:sz w:val="20"/>
                <w:szCs w:val="20"/>
              </w:rPr>
            </w:pPr>
            <w:r w:rsidRPr="00E42024">
              <w:rPr>
                <w:rFonts w:ascii="Arial" w:eastAsia="Times New Roman" w:hAnsi="Arial" w:cs="Arial"/>
                <w:sz w:val="20"/>
                <w:szCs w:val="20"/>
              </w:rPr>
              <w:t>This figure shows the difference between the mean (average) bonus pay of male and female employees in the relevant bonus period, as a percentage.</w:t>
            </w:r>
          </w:p>
          <w:p w14:paraId="0AF0D02E" w14:textId="77777777" w:rsidR="00E42024" w:rsidRPr="00E42024" w:rsidRDefault="00E42024" w:rsidP="00E42024">
            <w:pPr>
              <w:spacing w:before="60" w:after="60" w:line="240" w:lineRule="auto"/>
              <w:rPr>
                <w:rFonts w:ascii="Arial" w:eastAsia="Times New Roman" w:hAnsi="Arial" w:cs="Arial"/>
                <w:sz w:val="20"/>
                <w:szCs w:val="20"/>
              </w:rPr>
            </w:pPr>
            <w:r w:rsidRPr="00E42024">
              <w:rPr>
                <w:rFonts w:ascii="Arial" w:eastAsia="Times New Roman" w:hAnsi="Arial" w:cs="Arial"/>
                <w:sz w:val="20"/>
                <w:szCs w:val="20"/>
              </w:rPr>
              <w:t xml:space="preserve">Our mean bonus gender pay gap is </w:t>
            </w:r>
            <w:r w:rsidRPr="00E42024">
              <w:rPr>
                <w:rFonts w:ascii="Arial" w:eastAsia="Times New Roman" w:hAnsi="Arial" w:cs="Arial"/>
                <w:b/>
                <w:sz w:val="20"/>
                <w:szCs w:val="20"/>
                <w:lang w:eastAsia="en-GB"/>
              </w:rPr>
              <w:t>0%</w:t>
            </w:r>
            <w:r w:rsidRPr="00E42024">
              <w:rPr>
                <w:rFonts w:ascii="Arial" w:eastAsia="Times New Roman" w:hAnsi="Arial" w:cs="Arial"/>
                <w:sz w:val="20"/>
                <w:szCs w:val="20"/>
              </w:rPr>
              <w:t>.</w:t>
            </w:r>
          </w:p>
          <w:p w14:paraId="536F360C" w14:textId="77777777" w:rsidR="00E42024" w:rsidRPr="00E42024" w:rsidRDefault="00E42024" w:rsidP="00E42024">
            <w:pPr>
              <w:spacing w:before="60" w:after="60" w:line="240" w:lineRule="auto"/>
              <w:rPr>
                <w:rFonts w:ascii="Arial" w:eastAsia="Times New Roman" w:hAnsi="Arial" w:cs="Arial"/>
                <w:sz w:val="20"/>
                <w:szCs w:val="20"/>
              </w:rPr>
            </w:pPr>
            <w:r w:rsidRPr="00E42024">
              <w:rPr>
                <w:rFonts w:ascii="Arial" w:eastAsia="Times New Roman" w:hAnsi="Arial" w:cs="Arial"/>
                <w:sz w:val="20"/>
                <w:szCs w:val="20"/>
              </w:rPr>
              <w:t xml:space="preserve">The median bonus gender </w:t>
            </w:r>
            <w:proofErr w:type="gramStart"/>
            <w:r w:rsidRPr="00E42024">
              <w:rPr>
                <w:rFonts w:ascii="Arial" w:eastAsia="Times New Roman" w:hAnsi="Arial" w:cs="Arial"/>
                <w:sz w:val="20"/>
                <w:szCs w:val="20"/>
              </w:rPr>
              <w:t>pay</w:t>
            </w:r>
            <w:proofErr w:type="gramEnd"/>
            <w:r w:rsidRPr="00E42024">
              <w:rPr>
                <w:rFonts w:ascii="Arial" w:eastAsia="Times New Roman" w:hAnsi="Arial" w:cs="Arial"/>
                <w:sz w:val="20"/>
                <w:szCs w:val="20"/>
              </w:rPr>
              <w:t xml:space="preserve"> gap</w:t>
            </w:r>
          </w:p>
          <w:p w14:paraId="6C79532F" w14:textId="77777777" w:rsidR="00E42024" w:rsidRPr="00E42024" w:rsidRDefault="00E42024" w:rsidP="00E42024">
            <w:pPr>
              <w:spacing w:before="60" w:after="60" w:line="240" w:lineRule="auto"/>
              <w:rPr>
                <w:rFonts w:ascii="Arial" w:eastAsia="Times New Roman" w:hAnsi="Arial" w:cs="Arial"/>
                <w:sz w:val="20"/>
                <w:szCs w:val="20"/>
              </w:rPr>
            </w:pPr>
            <w:r w:rsidRPr="00E42024">
              <w:rPr>
                <w:rFonts w:ascii="Arial" w:eastAsia="Times New Roman" w:hAnsi="Arial" w:cs="Arial"/>
                <w:sz w:val="20"/>
                <w:szCs w:val="20"/>
              </w:rPr>
              <w:t>This figure shows the difference between the median (</w:t>
            </w:r>
            <w:proofErr w:type="spellStart"/>
            <w:r w:rsidRPr="00E42024">
              <w:rPr>
                <w:rFonts w:ascii="Arial" w:eastAsia="Times New Roman" w:hAnsi="Arial" w:cs="Arial"/>
                <w:sz w:val="20"/>
                <w:szCs w:val="20"/>
              </w:rPr>
              <w:t>mid point</w:t>
            </w:r>
            <w:proofErr w:type="spellEnd"/>
            <w:r w:rsidRPr="00E42024">
              <w:rPr>
                <w:rFonts w:ascii="Arial" w:eastAsia="Times New Roman" w:hAnsi="Arial" w:cs="Arial"/>
                <w:sz w:val="20"/>
                <w:szCs w:val="20"/>
              </w:rPr>
              <w:t>) bonus pay of male and female employees in the relevant bonus period, as a percentage.</w:t>
            </w:r>
          </w:p>
          <w:p w14:paraId="05791057" w14:textId="77777777" w:rsidR="00E42024" w:rsidRPr="00E42024" w:rsidRDefault="00E42024" w:rsidP="00E42024">
            <w:pPr>
              <w:spacing w:before="60" w:after="60" w:line="240" w:lineRule="auto"/>
              <w:rPr>
                <w:rFonts w:ascii="Arial" w:eastAsia="Times New Roman" w:hAnsi="Arial" w:cs="Arial"/>
                <w:sz w:val="20"/>
                <w:szCs w:val="20"/>
              </w:rPr>
            </w:pPr>
            <w:r w:rsidRPr="00E42024">
              <w:rPr>
                <w:rFonts w:ascii="Arial" w:eastAsia="Times New Roman" w:hAnsi="Arial" w:cs="Arial"/>
                <w:sz w:val="20"/>
                <w:szCs w:val="20"/>
              </w:rPr>
              <w:t xml:space="preserve">Our median bonus gender pay gap is </w:t>
            </w:r>
            <w:r w:rsidRPr="00E42024">
              <w:rPr>
                <w:rFonts w:ascii="Arial" w:eastAsia="Times New Roman" w:hAnsi="Arial" w:cs="Arial"/>
                <w:b/>
                <w:sz w:val="20"/>
                <w:szCs w:val="20"/>
                <w:lang w:eastAsia="en-GB"/>
              </w:rPr>
              <w:t>0%</w:t>
            </w:r>
            <w:r w:rsidRPr="00E42024">
              <w:rPr>
                <w:rFonts w:ascii="Arial" w:eastAsia="Times New Roman" w:hAnsi="Arial" w:cs="Arial"/>
                <w:b/>
                <w:sz w:val="20"/>
                <w:szCs w:val="20"/>
              </w:rPr>
              <w:t>.</w:t>
            </w:r>
          </w:p>
          <w:p w14:paraId="10747A34" w14:textId="77777777" w:rsidR="00E42024" w:rsidRPr="00E42024" w:rsidRDefault="00E42024" w:rsidP="00E42024">
            <w:pPr>
              <w:spacing w:before="60" w:after="60" w:line="240" w:lineRule="auto"/>
              <w:rPr>
                <w:rFonts w:ascii="Arial" w:eastAsia="Times New Roman" w:hAnsi="Arial" w:cs="Arial"/>
                <w:sz w:val="20"/>
                <w:szCs w:val="20"/>
              </w:rPr>
            </w:pPr>
            <w:r w:rsidRPr="00E42024">
              <w:rPr>
                <w:rFonts w:ascii="Arial" w:eastAsia="Times New Roman" w:hAnsi="Arial" w:cs="Arial"/>
                <w:sz w:val="20"/>
                <w:szCs w:val="20"/>
              </w:rPr>
              <w:t>DCLT does not pay a bonus to any of its employees.</w:t>
            </w:r>
          </w:p>
        </w:tc>
      </w:tr>
      <w:tr w:rsidR="00E42024" w:rsidRPr="00E42024" w14:paraId="5951B85F" w14:textId="77777777" w:rsidTr="00152C4F">
        <w:tc>
          <w:tcPr>
            <w:tcW w:w="2233" w:type="dxa"/>
            <w:shd w:val="pct12" w:color="auto" w:fill="auto"/>
            <w:hideMark/>
          </w:tcPr>
          <w:p w14:paraId="6BDA96EA" w14:textId="77777777" w:rsidR="00E42024" w:rsidRPr="00E42024" w:rsidRDefault="00E42024" w:rsidP="00E42024">
            <w:pPr>
              <w:spacing w:before="60" w:after="60" w:line="240" w:lineRule="auto"/>
              <w:rPr>
                <w:rFonts w:ascii="Arial" w:eastAsia="Times New Roman" w:hAnsi="Arial" w:cs="Arial"/>
                <w:sz w:val="20"/>
                <w:szCs w:val="20"/>
                <w:lang w:eastAsia="en-GB"/>
              </w:rPr>
            </w:pPr>
            <w:r w:rsidRPr="00E42024">
              <w:rPr>
                <w:rFonts w:ascii="Arial" w:eastAsia="Times New Roman" w:hAnsi="Arial" w:cs="Arial"/>
                <w:sz w:val="20"/>
                <w:szCs w:val="20"/>
                <w:lang w:eastAsia="en-GB"/>
              </w:rPr>
              <w:t>Bonus pay</w:t>
            </w:r>
          </w:p>
        </w:tc>
        <w:tc>
          <w:tcPr>
            <w:tcW w:w="7442" w:type="dxa"/>
            <w:gridSpan w:val="8"/>
            <w:shd w:val="pct12" w:color="auto" w:fill="auto"/>
            <w:hideMark/>
          </w:tcPr>
          <w:p w14:paraId="3BDC71EA" w14:textId="77777777" w:rsidR="00E42024" w:rsidRPr="00E42024" w:rsidRDefault="00E42024" w:rsidP="00E42024">
            <w:pPr>
              <w:spacing w:before="60" w:after="60" w:line="240" w:lineRule="auto"/>
              <w:rPr>
                <w:rFonts w:ascii="Arial" w:eastAsia="Times New Roman" w:hAnsi="Arial" w:cs="Arial"/>
                <w:b/>
                <w:sz w:val="20"/>
                <w:szCs w:val="20"/>
              </w:rPr>
            </w:pPr>
            <w:r w:rsidRPr="00E42024">
              <w:rPr>
                <w:rFonts w:ascii="Arial" w:eastAsia="Times New Roman" w:hAnsi="Arial" w:cs="Arial"/>
                <w:b/>
                <w:sz w:val="20"/>
                <w:szCs w:val="20"/>
              </w:rPr>
              <w:t xml:space="preserve">The proportions of male and female employees receiving bonus </w:t>
            </w:r>
            <w:proofErr w:type="gramStart"/>
            <w:r w:rsidRPr="00E42024">
              <w:rPr>
                <w:rFonts w:ascii="Arial" w:eastAsia="Times New Roman" w:hAnsi="Arial" w:cs="Arial"/>
                <w:b/>
                <w:sz w:val="20"/>
                <w:szCs w:val="20"/>
              </w:rPr>
              <w:t>pay</w:t>
            </w:r>
            <w:proofErr w:type="gramEnd"/>
          </w:p>
          <w:p w14:paraId="130AEEDC" w14:textId="77777777" w:rsidR="00E42024" w:rsidRPr="00E42024" w:rsidRDefault="00E42024" w:rsidP="00E42024">
            <w:pPr>
              <w:spacing w:before="60" w:after="60" w:line="240" w:lineRule="auto"/>
              <w:rPr>
                <w:rFonts w:ascii="Arial" w:eastAsia="Times New Roman" w:hAnsi="Arial" w:cs="Arial"/>
                <w:sz w:val="20"/>
                <w:szCs w:val="20"/>
              </w:rPr>
            </w:pPr>
            <w:r w:rsidRPr="00E42024">
              <w:rPr>
                <w:rFonts w:ascii="Arial" w:eastAsia="Times New Roman" w:hAnsi="Arial" w:cs="Arial"/>
                <w:sz w:val="20"/>
                <w:szCs w:val="20"/>
              </w:rPr>
              <w:t>These figures show the proportions of male and female employees who received bonus pay during the relevant period.</w:t>
            </w:r>
          </w:p>
          <w:p w14:paraId="257A2106" w14:textId="77777777" w:rsidR="00E42024" w:rsidRPr="00E42024" w:rsidRDefault="00E42024" w:rsidP="00E42024">
            <w:pPr>
              <w:spacing w:before="60" w:after="60" w:line="240" w:lineRule="auto"/>
              <w:rPr>
                <w:rFonts w:ascii="Arial" w:eastAsia="Times New Roman" w:hAnsi="Arial" w:cs="Arial"/>
                <w:b/>
                <w:sz w:val="20"/>
                <w:szCs w:val="20"/>
                <w:lang w:eastAsia="en-GB"/>
              </w:rPr>
            </w:pPr>
            <w:r w:rsidRPr="00E42024">
              <w:rPr>
                <w:rFonts w:ascii="Arial" w:eastAsia="Times New Roman" w:hAnsi="Arial" w:cs="Arial"/>
                <w:sz w:val="20"/>
                <w:szCs w:val="20"/>
                <w:lang w:eastAsia="en-GB"/>
              </w:rPr>
              <w:t>0%</w:t>
            </w:r>
            <w:r w:rsidRPr="00E42024">
              <w:rPr>
                <w:rFonts w:ascii="Arial" w:eastAsia="Times New Roman" w:hAnsi="Arial" w:cs="Arial"/>
                <w:bCs/>
                <w:sz w:val="20"/>
                <w:szCs w:val="20"/>
              </w:rPr>
              <w:t xml:space="preserve"> of male employees and </w:t>
            </w:r>
            <w:r w:rsidRPr="00E42024">
              <w:rPr>
                <w:rFonts w:ascii="Arial" w:eastAsia="Times New Roman" w:hAnsi="Arial" w:cs="Arial"/>
                <w:sz w:val="20"/>
                <w:szCs w:val="20"/>
                <w:lang w:eastAsia="en-GB"/>
              </w:rPr>
              <w:t>0%</w:t>
            </w:r>
            <w:r w:rsidRPr="00E42024">
              <w:rPr>
                <w:rFonts w:ascii="Arial" w:eastAsia="Times New Roman" w:hAnsi="Arial" w:cs="Arial"/>
                <w:bCs/>
                <w:sz w:val="20"/>
                <w:szCs w:val="20"/>
              </w:rPr>
              <w:t xml:space="preserve"> of female employees received a bonus payment in the relevant period.</w:t>
            </w:r>
          </w:p>
        </w:tc>
      </w:tr>
      <w:tr w:rsidR="00E42024" w:rsidRPr="00E42024" w14:paraId="08AD5896" w14:textId="77777777" w:rsidTr="00152C4F">
        <w:tc>
          <w:tcPr>
            <w:tcW w:w="2233" w:type="dxa"/>
            <w:shd w:val="pct12" w:color="auto" w:fill="auto"/>
            <w:hideMark/>
          </w:tcPr>
          <w:p w14:paraId="2F1B0282" w14:textId="77777777" w:rsidR="00E42024" w:rsidRPr="00E42024" w:rsidRDefault="00E42024" w:rsidP="00E42024">
            <w:pPr>
              <w:spacing w:before="60" w:after="60" w:line="240" w:lineRule="auto"/>
              <w:rPr>
                <w:rFonts w:ascii="Arial" w:eastAsia="Times New Roman" w:hAnsi="Arial" w:cs="Arial"/>
                <w:b/>
                <w:sz w:val="20"/>
                <w:szCs w:val="20"/>
                <w:lang w:eastAsia="en-GB"/>
              </w:rPr>
            </w:pPr>
            <w:r w:rsidRPr="00E42024">
              <w:rPr>
                <w:rFonts w:ascii="Arial" w:eastAsia="Times New Roman" w:hAnsi="Arial" w:cs="Arial"/>
                <w:b/>
                <w:sz w:val="20"/>
                <w:szCs w:val="20"/>
                <w:lang w:eastAsia="en-GB"/>
              </w:rPr>
              <w:t>Quartile pay band</w:t>
            </w:r>
          </w:p>
        </w:tc>
        <w:tc>
          <w:tcPr>
            <w:tcW w:w="1367" w:type="dxa"/>
            <w:shd w:val="pct12" w:color="auto" w:fill="auto"/>
            <w:tcMar>
              <w:top w:w="0" w:type="dxa"/>
              <w:left w:w="17" w:type="dxa"/>
              <w:bottom w:w="0" w:type="dxa"/>
              <w:right w:w="17" w:type="dxa"/>
            </w:tcMar>
            <w:hideMark/>
          </w:tcPr>
          <w:p w14:paraId="3A3C0194" w14:textId="77777777" w:rsidR="00E42024" w:rsidRPr="00E42024" w:rsidRDefault="00E42024" w:rsidP="00E42024">
            <w:pPr>
              <w:spacing w:before="60" w:after="60" w:line="240" w:lineRule="auto"/>
              <w:jc w:val="center"/>
              <w:rPr>
                <w:rFonts w:ascii="Arial" w:eastAsia="Times New Roman" w:hAnsi="Arial" w:cs="Arial"/>
                <w:b/>
                <w:sz w:val="20"/>
                <w:szCs w:val="20"/>
              </w:rPr>
            </w:pPr>
            <w:r w:rsidRPr="00E42024">
              <w:rPr>
                <w:rFonts w:ascii="Arial" w:eastAsia="Times New Roman" w:hAnsi="Arial" w:cs="Arial"/>
                <w:b/>
                <w:sz w:val="20"/>
                <w:szCs w:val="20"/>
                <w:lang w:eastAsia="en-GB"/>
              </w:rPr>
              <w:t>Male number</w:t>
            </w:r>
          </w:p>
        </w:tc>
        <w:tc>
          <w:tcPr>
            <w:tcW w:w="1519" w:type="dxa"/>
            <w:gridSpan w:val="2"/>
            <w:shd w:val="pct12" w:color="auto" w:fill="auto"/>
            <w:tcMar>
              <w:top w:w="0" w:type="dxa"/>
              <w:left w:w="17" w:type="dxa"/>
              <w:bottom w:w="0" w:type="dxa"/>
              <w:right w:w="17" w:type="dxa"/>
            </w:tcMar>
            <w:hideMark/>
          </w:tcPr>
          <w:p w14:paraId="2B156821" w14:textId="77777777" w:rsidR="00E42024" w:rsidRPr="00E42024" w:rsidRDefault="00E42024" w:rsidP="00E42024">
            <w:pPr>
              <w:spacing w:before="60" w:after="60" w:line="240" w:lineRule="auto"/>
              <w:jc w:val="center"/>
              <w:rPr>
                <w:rFonts w:ascii="Arial" w:eastAsia="Times New Roman" w:hAnsi="Arial" w:cs="Arial"/>
                <w:b/>
                <w:sz w:val="20"/>
                <w:szCs w:val="20"/>
              </w:rPr>
            </w:pPr>
            <w:r w:rsidRPr="00E42024">
              <w:rPr>
                <w:rFonts w:ascii="Arial" w:eastAsia="Times New Roman" w:hAnsi="Arial" w:cs="Arial"/>
                <w:b/>
                <w:sz w:val="20"/>
                <w:szCs w:val="20"/>
                <w:lang w:eastAsia="en-GB"/>
              </w:rPr>
              <w:t>Female number</w:t>
            </w:r>
          </w:p>
        </w:tc>
        <w:tc>
          <w:tcPr>
            <w:tcW w:w="1517" w:type="dxa"/>
            <w:shd w:val="pct12" w:color="auto" w:fill="auto"/>
            <w:hideMark/>
          </w:tcPr>
          <w:p w14:paraId="6F4879E6" w14:textId="77777777" w:rsidR="00E42024" w:rsidRPr="00E42024" w:rsidRDefault="00E42024" w:rsidP="00E42024">
            <w:pPr>
              <w:spacing w:before="60" w:after="60" w:line="240" w:lineRule="auto"/>
              <w:jc w:val="center"/>
              <w:rPr>
                <w:rFonts w:ascii="Arial" w:eastAsia="Times New Roman" w:hAnsi="Arial" w:cs="Arial"/>
                <w:b/>
                <w:sz w:val="20"/>
                <w:szCs w:val="20"/>
              </w:rPr>
            </w:pPr>
            <w:r w:rsidRPr="00E42024">
              <w:rPr>
                <w:rFonts w:ascii="Arial" w:eastAsia="Times New Roman" w:hAnsi="Arial" w:cs="Arial"/>
                <w:b/>
                <w:sz w:val="20"/>
                <w:szCs w:val="20"/>
                <w:lang w:eastAsia="en-GB"/>
              </w:rPr>
              <w:t>Total number</w:t>
            </w:r>
          </w:p>
        </w:tc>
        <w:tc>
          <w:tcPr>
            <w:tcW w:w="1518" w:type="dxa"/>
            <w:gridSpan w:val="2"/>
            <w:shd w:val="pct12" w:color="auto" w:fill="auto"/>
            <w:hideMark/>
          </w:tcPr>
          <w:p w14:paraId="4A796A6F" w14:textId="77777777" w:rsidR="00E42024" w:rsidRPr="00E42024" w:rsidRDefault="00E42024" w:rsidP="00E42024">
            <w:pPr>
              <w:spacing w:before="60" w:after="60" w:line="240" w:lineRule="auto"/>
              <w:jc w:val="center"/>
              <w:rPr>
                <w:rFonts w:ascii="Arial" w:eastAsia="Times New Roman" w:hAnsi="Arial" w:cs="Arial"/>
                <w:b/>
                <w:sz w:val="20"/>
                <w:szCs w:val="20"/>
              </w:rPr>
            </w:pPr>
            <w:r w:rsidRPr="00E42024">
              <w:rPr>
                <w:rFonts w:ascii="Arial" w:eastAsia="Times New Roman" w:hAnsi="Arial" w:cs="Arial"/>
                <w:b/>
                <w:sz w:val="20"/>
                <w:szCs w:val="20"/>
                <w:lang w:eastAsia="en-GB"/>
              </w:rPr>
              <w:t>Male %</w:t>
            </w:r>
          </w:p>
        </w:tc>
        <w:tc>
          <w:tcPr>
            <w:tcW w:w="1521" w:type="dxa"/>
            <w:gridSpan w:val="2"/>
            <w:shd w:val="pct12" w:color="auto" w:fill="auto"/>
            <w:hideMark/>
          </w:tcPr>
          <w:p w14:paraId="2EF50429" w14:textId="77777777" w:rsidR="00E42024" w:rsidRPr="00E42024" w:rsidRDefault="00E42024" w:rsidP="00E42024">
            <w:pPr>
              <w:spacing w:before="60" w:after="60" w:line="240" w:lineRule="auto"/>
              <w:jc w:val="center"/>
              <w:rPr>
                <w:rFonts w:ascii="Arial" w:eastAsia="Times New Roman" w:hAnsi="Arial" w:cs="Arial"/>
                <w:b/>
                <w:sz w:val="20"/>
                <w:szCs w:val="20"/>
              </w:rPr>
            </w:pPr>
            <w:r w:rsidRPr="00E42024">
              <w:rPr>
                <w:rFonts w:ascii="Arial" w:eastAsia="Times New Roman" w:hAnsi="Arial" w:cs="Arial"/>
                <w:b/>
                <w:sz w:val="20"/>
                <w:szCs w:val="20"/>
                <w:lang w:eastAsia="en-GB"/>
              </w:rPr>
              <w:t>Female %</w:t>
            </w:r>
          </w:p>
        </w:tc>
      </w:tr>
      <w:tr w:rsidR="007F2E85" w:rsidRPr="00E42024" w14:paraId="3C33DCAA" w14:textId="77777777" w:rsidTr="00122F61">
        <w:tc>
          <w:tcPr>
            <w:tcW w:w="2233" w:type="dxa"/>
            <w:shd w:val="pct12" w:color="auto" w:fill="auto"/>
            <w:hideMark/>
          </w:tcPr>
          <w:p w14:paraId="7D2C351A" w14:textId="77777777" w:rsidR="007F2E85" w:rsidRPr="00E42024" w:rsidRDefault="007F2E85" w:rsidP="007F2E85">
            <w:pPr>
              <w:spacing w:before="60" w:after="60" w:line="240" w:lineRule="auto"/>
              <w:rPr>
                <w:rFonts w:ascii="Arial" w:eastAsia="Times New Roman" w:hAnsi="Arial" w:cs="Arial"/>
                <w:sz w:val="20"/>
                <w:szCs w:val="20"/>
                <w:lang w:eastAsia="en-GB"/>
              </w:rPr>
            </w:pPr>
            <w:r w:rsidRPr="00E42024">
              <w:rPr>
                <w:rFonts w:ascii="Arial" w:eastAsia="Times New Roman" w:hAnsi="Arial" w:cs="Arial"/>
                <w:sz w:val="20"/>
                <w:szCs w:val="20"/>
                <w:lang w:eastAsia="en-GB"/>
              </w:rPr>
              <w:t>Lower</w:t>
            </w:r>
          </w:p>
        </w:tc>
        <w:tc>
          <w:tcPr>
            <w:tcW w:w="1367" w:type="dxa"/>
          </w:tcPr>
          <w:p w14:paraId="23FE12A5" w14:textId="46749D98" w:rsidR="007F2E85" w:rsidRPr="007F2E85" w:rsidRDefault="007F2E85" w:rsidP="007F2E85">
            <w:pPr>
              <w:spacing w:before="60" w:after="60" w:line="240" w:lineRule="auto"/>
              <w:jc w:val="center"/>
              <w:rPr>
                <w:rFonts w:ascii="Arial" w:eastAsia="Times New Roman" w:hAnsi="Arial" w:cs="Arial"/>
                <w:bCs/>
                <w:sz w:val="20"/>
                <w:szCs w:val="20"/>
                <w:lang w:eastAsia="en-GB"/>
              </w:rPr>
            </w:pPr>
            <w:r w:rsidRPr="007F2E85">
              <w:rPr>
                <w:rFonts w:ascii="Arial" w:eastAsia="Times New Roman" w:hAnsi="Arial" w:cs="Arial"/>
                <w:bCs/>
                <w:sz w:val="20"/>
                <w:szCs w:val="20"/>
                <w:lang w:eastAsia="en-GB"/>
              </w:rPr>
              <w:t>34</w:t>
            </w:r>
          </w:p>
        </w:tc>
        <w:tc>
          <w:tcPr>
            <w:tcW w:w="1519" w:type="dxa"/>
            <w:gridSpan w:val="2"/>
          </w:tcPr>
          <w:p w14:paraId="651E0281" w14:textId="66ABF74C" w:rsidR="007F2E85" w:rsidRPr="007F2E85" w:rsidRDefault="007F2E85" w:rsidP="007F2E85">
            <w:pPr>
              <w:spacing w:before="60" w:after="60" w:line="240" w:lineRule="auto"/>
              <w:jc w:val="center"/>
              <w:rPr>
                <w:rFonts w:ascii="Arial" w:eastAsia="Times New Roman" w:hAnsi="Arial" w:cs="Arial"/>
                <w:bCs/>
                <w:sz w:val="20"/>
                <w:szCs w:val="20"/>
                <w:lang w:eastAsia="en-GB"/>
              </w:rPr>
            </w:pPr>
            <w:r w:rsidRPr="007F2E85">
              <w:rPr>
                <w:rFonts w:ascii="Arial" w:eastAsia="Times New Roman" w:hAnsi="Arial" w:cs="Arial"/>
                <w:bCs/>
                <w:sz w:val="20"/>
                <w:szCs w:val="20"/>
                <w:lang w:eastAsia="en-GB"/>
              </w:rPr>
              <w:t>57</w:t>
            </w:r>
          </w:p>
        </w:tc>
        <w:tc>
          <w:tcPr>
            <w:tcW w:w="1517" w:type="dxa"/>
          </w:tcPr>
          <w:p w14:paraId="4B530267" w14:textId="72CF02A2" w:rsidR="007F2E85" w:rsidRPr="007F2E85" w:rsidRDefault="007F2E85" w:rsidP="007F2E85">
            <w:pPr>
              <w:spacing w:before="60" w:after="60" w:line="240" w:lineRule="auto"/>
              <w:jc w:val="center"/>
              <w:rPr>
                <w:rFonts w:ascii="Arial" w:eastAsia="Times New Roman" w:hAnsi="Arial" w:cs="Arial"/>
                <w:bCs/>
                <w:sz w:val="20"/>
                <w:szCs w:val="20"/>
                <w:lang w:eastAsia="en-GB"/>
              </w:rPr>
            </w:pPr>
            <w:r w:rsidRPr="007F2E85">
              <w:rPr>
                <w:rFonts w:ascii="Arial" w:eastAsia="Times New Roman" w:hAnsi="Arial" w:cs="Arial"/>
                <w:bCs/>
                <w:sz w:val="20"/>
                <w:szCs w:val="20"/>
                <w:lang w:eastAsia="en-GB"/>
              </w:rPr>
              <w:t>91</w:t>
            </w:r>
          </w:p>
        </w:tc>
        <w:tc>
          <w:tcPr>
            <w:tcW w:w="1518" w:type="dxa"/>
            <w:gridSpan w:val="2"/>
          </w:tcPr>
          <w:p w14:paraId="4A9006B4" w14:textId="31C52949" w:rsidR="007F2E85" w:rsidRPr="007F2E85" w:rsidRDefault="007F2E85" w:rsidP="007F2E85">
            <w:pPr>
              <w:spacing w:before="60" w:after="60" w:line="240" w:lineRule="auto"/>
              <w:jc w:val="center"/>
              <w:rPr>
                <w:rFonts w:ascii="Arial" w:eastAsia="Times New Roman" w:hAnsi="Arial" w:cs="Arial"/>
                <w:b/>
                <w:sz w:val="20"/>
                <w:szCs w:val="20"/>
                <w:lang w:eastAsia="en-GB"/>
              </w:rPr>
            </w:pPr>
            <w:r w:rsidRPr="007F2E85">
              <w:rPr>
                <w:rFonts w:ascii="Arial" w:eastAsia="Times New Roman" w:hAnsi="Arial" w:cs="Arial"/>
                <w:b/>
                <w:sz w:val="20"/>
                <w:szCs w:val="20"/>
                <w:lang w:eastAsia="en-GB"/>
              </w:rPr>
              <w:t>37.4%</w:t>
            </w:r>
          </w:p>
        </w:tc>
        <w:tc>
          <w:tcPr>
            <w:tcW w:w="1521" w:type="dxa"/>
            <w:gridSpan w:val="2"/>
          </w:tcPr>
          <w:p w14:paraId="125E06B4" w14:textId="1D9DA19A" w:rsidR="007F2E85" w:rsidRPr="007F2E85" w:rsidRDefault="007F2E85" w:rsidP="007F2E85">
            <w:pPr>
              <w:spacing w:before="60" w:after="60" w:line="240" w:lineRule="auto"/>
              <w:jc w:val="center"/>
              <w:rPr>
                <w:rFonts w:ascii="Arial" w:eastAsia="Times New Roman" w:hAnsi="Arial" w:cs="Arial"/>
                <w:b/>
                <w:sz w:val="20"/>
                <w:szCs w:val="20"/>
                <w:lang w:eastAsia="en-GB"/>
              </w:rPr>
            </w:pPr>
            <w:r w:rsidRPr="007F2E85">
              <w:rPr>
                <w:rFonts w:ascii="Arial" w:eastAsia="Times New Roman" w:hAnsi="Arial" w:cs="Arial"/>
                <w:b/>
                <w:sz w:val="20"/>
                <w:szCs w:val="20"/>
                <w:lang w:eastAsia="en-GB"/>
              </w:rPr>
              <w:t>62.6%</w:t>
            </w:r>
          </w:p>
        </w:tc>
      </w:tr>
      <w:tr w:rsidR="007F2E85" w:rsidRPr="00E42024" w14:paraId="5133D9C5" w14:textId="77777777" w:rsidTr="00122F61">
        <w:tc>
          <w:tcPr>
            <w:tcW w:w="2233" w:type="dxa"/>
            <w:shd w:val="pct12" w:color="auto" w:fill="auto"/>
            <w:hideMark/>
          </w:tcPr>
          <w:p w14:paraId="2CA54538" w14:textId="77777777" w:rsidR="007F2E85" w:rsidRPr="00E42024" w:rsidRDefault="007F2E85" w:rsidP="007F2E85">
            <w:pPr>
              <w:spacing w:before="60" w:after="60" w:line="240" w:lineRule="auto"/>
              <w:rPr>
                <w:rFonts w:ascii="Arial" w:eastAsia="Times New Roman" w:hAnsi="Arial" w:cs="Arial"/>
                <w:sz w:val="20"/>
                <w:szCs w:val="20"/>
                <w:lang w:eastAsia="en-GB"/>
              </w:rPr>
            </w:pPr>
            <w:r w:rsidRPr="00E42024">
              <w:rPr>
                <w:rFonts w:ascii="Arial" w:eastAsia="Times New Roman" w:hAnsi="Arial" w:cs="Arial"/>
                <w:sz w:val="20"/>
                <w:szCs w:val="20"/>
                <w:lang w:eastAsia="en-GB"/>
              </w:rPr>
              <w:t>Lower middle</w:t>
            </w:r>
          </w:p>
        </w:tc>
        <w:tc>
          <w:tcPr>
            <w:tcW w:w="1367" w:type="dxa"/>
          </w:tcPr>
          <w:p w14:paraId="5B5D388E" w14:textId="4C703DDB" w:rsidR="007F2E85" w:rsidRPr="007F2E85" w:rsidRDefault="007F2E85" w:rsidP="007F2E85">
            <w:pPr>
              <w:spacing w:before="60" w:after="60" w:line="240" w:lineRule="auto"/>
              <w:jc w:val="center"/>
              <w:rPr>
                <w:rFonts w:ascii="Arial" w:eastAsia="Times New Roman" w:hAnsi="Arial" w:cs="Arial"/>
                <w:bCs/>
                <w:sz w:val="20"/>
                <w:szCs w:val="20"/>
                <w:lang w:eastAsia="en-GB"/>
              </w:rPr>
            </w:pPr>
            <w:r w:rsidRPr="007F2E85">
              <w:rPr>
                <w:rFonts w:ascii="Arial" w:eastAsia="Times New Roman" w:hAnsi="Arial" w:cs="Arial"/>
                <w:bCs/>
                <w:sz w:val="20"/>
                <w:szCs w:val="20"/>
                <w:lang w:eastAsia="en-GB"/>
              </w:rPr>
              <w:t>56</w:t>
            </w:r>
          </w:p>
        </w:tc>
        <w:tc>
          <w:tcPr>
            <w:tcW w:w="1519" w:type="dxa"/>
            <w:gridSpan w:val="2"/>
          </w:tcPr>
          <w:p w14:paraId="224F76CE" w14:textId="6C8469F5" w:rsidR="007F2E85" w:rsidRPr="007F2E85" w:rsidRDefault="007F2E85" w:rsidP="007F2E85">
            <w:pPr>
              <w:spacing w:before="60" w:after="60" w:line="240" w:lineRule="auto"/>
              <w:jc w:val="center"/>
              <w:rPr>
                <w:rFonts w:ascii="Arial" w:eastAsia="Times New Roman" w:hAnsi="Arial" w:cs="Arial"/>
                <w:bCs/>
                <w:sz w:val="20"/>
                <w:szCs w:val="20"/>
                <w:lang w:eastAsia="en-GB"/>
              </w:rPr>
            </w:pPr>
            <w:r w:rsidRPr="007F2E85">
              <w:rPr>
                <w:rFonts w:ascii="Arial" w:eastAsia="Times New Roman" w:hAnsi="Arial" w:cs="Arial"/>
                <w:bCs/>
                <w:sz w:val="20"/>
                <w:szCs w:val="20"/>
                <w:lang w:eastAsia="en-GB"/>
              </w:rPr>
              <w:t>35</w:t>
            </w:r>
          </w:p>
        </w:tc>
        <w:tc>
          <w:tcPr>
            <w:tcW w:w="1517" w:type="dxa"/>
          </w:tcPr>
          <w:p w14:paraId="5D8D80CB" w14:textId="08323ECC" w:rsidR="007F2E85" w:rsidRPr="007F2E85" w:rsidRDefault="007F2E85" w:rsidP="007F2E85">
            <w:pPr>
              <w:spacing w:before="60" w:after="60" w:line="240" w:lineRule="auto"/>
              <w:jc w:val="center"/>
              <w:rPr>
                <w:rFonts w:ascii="Arial" w:eastAsia="Times New Roman" w:hAnsi="Arial" w:cs="Arial"/>
                <w:bCs/>
                <w:sz w:val="20"/>
                <w:szCs w:val="20"/>
                <w:lang w:eastAsia="en-GB"/>
              </w:rPr>
            </w:pPr>
            <w:r>
              <w:rPr>
                <w:rFonts w:ascii="Arial" w:eastAsia="Times New Roman" w:hAnsi="Arial" w:cs="Arial"/>
                <w:bCs/>
                <w:sz w:val="20"/>
                <w:szCs w:val="20"/>
                <w:lang w:eastAsia="en-GB"/>
              </w:rPr>
              <w:t>91</w:t>
            </w:r>
          </w:p>
        </w:tc>
        <w:tc>
          <w:tcPr>
            <w:tcW w:w="1518" w:type="dxa"/>
            <w:gridSpan w:val="2"/>
          </w:tcPr>
          <w:p w14:paraId="1892E249" w14:textId="3AAE3945" w:rsidR="007F2E85" w:rsidRPr="007F2E85" w:rsidRDefault="007F2E85" w:rsidP="007F2E85">
            <w:pPr>
              <w:spacing w:before="60" w:after="6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61.5%</w:t>
            </w:r>
          </w:p>
        </w:tc>
        <w:tc>
          <w:tcPr>
            <w:tcW w:w="1521" w:type="dxa"/>
            <w:gridSpan w:val="2"/>
          </w:tcPr>
          <w:p w14:paraId="55FFCBA2" w14:textId="416250E1" w:rsidR="007F2E85" w:rsidRPr="007F2E85" w:rsidRDefault="007F2E85" w:rsidP="007F2E85">
            <w:pPr>
              <w:spacing w:before="60" w:after="6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38.5%</w:t>
            </w:r>
          </w:p>
        </w:tc>
      </w:tr>
      <w:tr w:rsidR="007F2E85" w:rsidRPr="00E42024" w14:paraId="0CE2C901" w14:textId="77777777" w:rsidTr="00122F61">
        <w:tc>
          <w:tcPr>
            <w:tcW w:w="2233" w:type="dxa"/>
            <w:shd w:val="pct12" w:color="auto" w:fill="auto"/>
            <w:hideMark/>
          </w:tcPr>
          <w:p w14:paraId="4D364530" w14:textId="77777777" w:rsidR="007F2E85" w:rsidRPr="00E42024" w:rsidRDefault="007F2E85" w:rsidP="007F2E85">
            <w:pPr>
              <w:spacing w:before="60" w:after="60" w:line="240" w:lineRule="auto"/>
              <w:rPr>
                <w:rFonts w:ascii="Arial" w:eastAsia="Times New Roman" w:hAnsi="Arial" w:cs="Arial"/>
                <w:sz w:val="20"/>
                <w:szCs w:val="20"/>
                <w:lang w:eastAsia="en-GB"/>
              </w:rPr>
            </w:pPr>
            <w:r w:rsidRPr="00E42024">
              <w:rPr>
                <w:rFonts w:ascii="Arial" w:eastAsia="Times New Roman" w:hAnsi="Arial" w:cs="Arial"/>
                <w:sz w:val="20"/>
                <w:szCs w:val="20"/>
                <w:lang w:eastAsia="en-GB"/>
              </w:rPr>
              <w:t>Upper middle</w:t>
            </w:r>
          </w:p>
        </w:tc>
        <w:tc>
          <w:tcPr>
            <w:tcW w:w="1367" w:type="dxa"/>
          </w:tcPr>
          <w:p w14:paraId="36092E7C" w14:textId="25B15C12" w:rsidR="007F2E85" w:rsidRPr="007F2E85" w:rsidRDefault="007F2E85" w:rsidP="007F2E85">
            <w:pPr>
              <w:spacing w:before="60" w:after="60" w:line="240" w:lineRule="auto"/>
              <w:jc w:val="center"/>
              <w:rPr>
                <w:rFonts w:ascii="Arial" w:eastAsia="Times New Roman" w:hAnsi="Arial" w:cs="Arial"/>
                <w:bCs/>
                <w:sz w:val="20"/>
                <w:szCs w:val="20"/>
                <w:lang w:eastAsia="en-GB"/>
              </w:rPr>
            </w:pPr>
            <w:r w:rsidRPr="007F2E85">
              <w:rPr>
                <w:rFonts w:ascii="Arial" w:eastAsia="Times New Roman" w:hAnsi="Arial" w:cs="Arial"/>
                <w:bCs/>
                <w:sz w:val="20"/>
                <w:szCs w:val="20"/>
                <w:lang w:eastAsia="en-GB"/>
              </w:rPr>
              <w:t>42</w:t>
            </w:r>
          </w:p>
        </w:tc>
        <w:tc>
          <w:tcPr>
            <w:tcW w:w="1519" w:type="dxa"/>
            <w:gridSpan w:val="2"/>
          </w:tcPr>
          <w:p w14:paraId="1949220B" w14:textId="303AC2E9" w:rsidR="007F2E85" w:rsidRPr="007F2E85" w:rsidRDefault="007F2E85" w:rsidP="007F2E85">
            <w:pPr>
              <w:spacing w:before="60" w:after="60" w:line="240" w:lineRule="auto"/>
              <w:jc w:val="center"/>
              <w:rPr>
                <w:rFonts w:ascii="Arial" w:eastAsia="Times New Roman" w:hAnsi="Arial" w:cs="Arial"/>
                <w:bCs/>
                <w:sz w:val="20"/>
                <w:szCs w:val="20"/>
                <w:lang w:eastAsia="en-GB"/>
              </w:rPr>
            </w:pPr>
            <w:r>
              <w:rPr>
                <w:rFonts w:ascii="Arial" w:eastAsia="Times New Roman" w:hAnsi="Arial" w:cs="Arial"/>
                <w:bCs/>
                <w:sz w:val="20"/>
                <w:szCs w:val="20"/>
                <w:lang w:eastAsia="en-GB"/>
              </w:rPr>
              <w:t>49</w:t>
            </w:r>
          </w:p>
        </w:tc>
        <w:tc>
          <w:tcPr>
            <w:tcW w:w="1517" w:type="dxa"/>
          </w:tcPr>
          <w:p w14:paraId="25ABAF0E" w14:textId="0CF14F1F" w:rsidR="007F2E85" w:rsidRPr="007F2E85" w:rsidRDefault="007F2E85" w:rsidP="007F2E85">
            <w:pPr>
              <w:spacing w:before="60" w:after="60" w:line="240" w:lineRule="auto"/>
              <w:jc w:val="center"/>
              <w:rPr>
                <w:rFonts w:ascii="Arial" w:eastAsia="Times New Roman" w:hAnsi="Arial" w:cs="Arial"/>
                <w:bCs/>
                <w:sz w:val="20"/>
                <w:szCs w:val="20"/>
                <w:lang w:eastAsia="en-GB"/>
              </w:rPr>
            </w:pPr>
            <w:r>
              <w:rPr>
                <w:rFonts w:ascii="Arial" w:eastAsia="Times New Roman" w:hAnsi="Arial" w:cs="Arial"/>
                <w:bCs/>
                <w:sz w:val="20"/>
                <w:szCs w:val="20"/>
                <w:lang w:eastAsia="en-GB"/>
              </w:rPr>
              <w:t>91</w:t>
            </w:r>
          </w:p>
        </w:tc>
        <w:tc>
          <w:tcPr>
            <w:tcW w:w="1518" w:type="dxa"/>
            <w:gridSpan w:val="2"/>
          </w:tcPr>
          <w:p w14:paraId="46676242" w14:textId="64B6948C" w:rsidR="007F2E85" w:rsidRPr="007F2E85" w:rsidRDefault="007F2E85" w:rsidP="007F2E85">
            <w:pPr>
              <w:spacing w:before="60" w:after="6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46.2%</w:t>
            </w:r>
          </w:p>
        </w:tc>
        <w:tc>
          <w:tcPr>
            <w:tcW w:w="1521" w:type="dxa"/>
            <w:gridSpan w:val="2"/>
          </w:tcPr>
          <w:p w14:paraId="07316455" w14:textId="5ECF48D8" w:rsidR="007F2E85" w:rsidRPr="007F2E85" w:rsidRDefault="007F2E85" w:rsidP="007F2E85">
            <w:pPr>
              <w:spacing w:before="60" w:after="6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53.8%</w:t>
            </w:r>
          </w:p>
        </w:tc>
      </w:tr>
      <w:tr w:rsidR="007F2E85" w:rsidRPr="00E42024" w14:paraId="580F1679" w14:textId="77777777" w:rsidTr="00122F61">
        <w:tc>
          <w:tcPr>
            <w:tcW w:w="2233" w:type="dxa"/>
            <w:shd w:val="pct12" w:color="auto" w:fill="auto"/>
            <w:hideMark/>
          </w:tcPr>
          <w:p w14:paraId="7345E0B6" w14:textId="77777777" w:rsidR="007F2E85" w:rsidRPr="00E42024" w:rsidRDefault="007F2E85" w:rsidP="007F2E85">
            <w:pPr>
              <w:spacing w:before="60" w:after="60" w:line="240" w:lineRule="auto"/>
              <w:rPr>
                <w:rFonts w:ascii="Arial" w:eastAsia="Times New Roman" w:hAnsi="Arial" w:cs="Arial"/>
                <w:sz w:val="20"/>
                <w:szCs w:val="20"/>
                <w:lang w:eastAsia="en-GB"/>
              </w:rPr>
            </w:pPr>
            <w:r w:rsidRPr="00E42024">
              <w:rPr>
                <w:rFonts w:ascii="Arial" w:eastAsia="Times New Roman" w:hAnsi="Arial" w:cs="Arial"/>
                <w:sz w:val="20"/>
                <w:szCs w:val="20"/>
                <w:lang w:eastAsia="en-GB"/>
              </w:rPr>
              <w:t>Upper</w:t>
            </w:r>
          </w:p>
        </w:tc>
        <w:tc>
          <w:tcPr>
            <w:tcW w:w="1367" w:type="dxa"/>
          </w:tcPr>
          <w:p w14:paraId="5ACA8C8B" w14:textId="660DB417" w:rsidR="007F2E85" w:rsidRPr="007F2E85" w:rsidRDefault="007F2E85" w:rsidP="007F2E85">
            <w:pPr>
              <w:spacing w:before="60" w:after="60" w:line="240" w:lineRule="auto"/>
              <w:jc w:val="center"/>
              <w:rPr>
                <w:rFonts w:ascii="Arial" w:eastAsia="Times New Roman" w:hAnsi="Arial" w:cs="Arial"/>
                <w:bCs/>
                <w:sz w:val="20"/>
                <w:szCs w:val="20"/>
                <w:lang w:eastAsia="en-GB"/>
              </w:rPr>
            </w:pPr>
            <w:r w:rsidRPr="007F2E85">
              <w:rPr>
                <w:rFonts w:ascii="Arial" w:eastAsia="Times New Roman" w:hAnsi="Arial" w:cs="Arial"/>
                <w:bCs/>
                <w:sz w:val="20"/>
                <w:szCs w:val="20"/>
                <w:lang w:eastAsia="en-GB"/>
              </w:rPr>
              <w:t>33</w:t>
            </w:r>
          </w:p>
        </w:tc>
        <w:tc>
          <w:tcPr>
            <w:tcW w:w="1519" w:type="dxa"/>
            <w:gridSpan w:val="2"/>
          </w:tcPr>
          <w:p w14:paraId="277E9607" w14:textId="5631AEBA" w:rsidR="007F2E85" w:rsidRPr="007F2E85" w:rsidRDefault="007F2E85" w:rsidP="007F2E85">
            <w:pPr>
              <w:spacing w:before="60" w:after="60" w:line="240" w:lineRule="auto"/>
              <w:jc w:val="center"/>
              <w:rPr>
                <w:rFonts w:ascii="Arial" w:eastAsia="Times New Roman" w:hAnsi="Arial" w:cs="Arial"/>
                <w:bCs/>
                <w:sz w:val="20"/>
                <w:szCs w:val="20"/>
                <w:lang w:eastAsia="en-GB"/>
              </w:rPr>
            </w:pPr>
            <w:r w:rsidRPr="007F2E85">
              <w:rPr>
                <w:rFonts w:ascii="Arial" w:eastAsia="Times New Roman" w:hAnsi="Arial" w:cs="Arial"/>
                <w:bCs/>
                <w:sz w:val="20"/>
                <w:szCs w:val="20"/>
                <w:lang w:eastAsia="en-GB"/>
              </w:rPr>
              <w:t>59</w:t>
            </w:r>
          </w:p>
        </w:tc>
        <w:tc>
          <w:tcPr>
            <w:tcW w:w="1517" w:type="dxa"/>
          </w:tcPr>
          <w:p w14:paraId="3E4E42BD" w14:textId="33DA4DFE" w:rsidR="007F2E85" w:rsidRPr="007F2E85" w:rsidRDefault="007F2E85" w:rsidP="007F2E85">
            <w:pPr>
              <w:spacing w:before="60" w:after="60" w:line="240" w:lineRule="auto"/>
              <w:jc w:val="center"/>
              <w:rPr>
                <w:rFonts w:ascii="Arial" w:eastAsia="Times New Roman" w:hAnsi="Arial" w:cs="Arial"/>
                <w:bCs/>
                <w:sz w:val="20"/>
                <w:szCs w:val="20"/>
                <w:lang w:eastAsia="en-GB"/>
              </w:rPr>
            </w:pPr>
            <w:r>
              <w:rPr>
                <w:rFonts w:ascii="Arial" w:eastAsia="Times New Roman" w:hAnsi="Arial" w:cs="Arial"/>
                <w:bCs/>
                <w:sz w:val="20"/>
                <w:szCs w:val="20"/>
                <w:lang w:eastAsia="en-GB"/>
              </w:rPr>
              <w:t>92</w:t>
            </w:r>
          </w:p>
        </w:tc>
        <w:tc>
          <w:tcPr>
            <w:tcW w:w="1518" w:type="dxa"/>
            <w:gridSpan w:val="2"/>
          </w:tcPr>
          <w:p w14:paraId="5B632F57" w14:textId="1715B958" w:rsidR="007F2E85" w:rsidRPr="007F2E85" w:rsidRDefault="007F2E85" w:rsidP="007F2E85">
            <w:pPr>
              <w:spacing w:before="60" w:after="6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35.9%</w:t>
            </w:r>
          </w:p>
        </w:tc>
        <w:tc>
          <w:tcPr>
            <w:tcW w:w="1521" w:type="dxa"/>
            <w:gridSpan w:val="2"/>
          </w:tcPr>
          <w:p w14:paraId="071BFEEA" w14:textId="3223D8E5" w:rsidR="007F2E85" w:rsidRPr="007F2E85" w:rsidRDefault="007F2E85" w:rsidP="007F2E85">
            <w:pPr>
              <w:spacing w:before="60" w:after="6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64.1%</w:t>
            </w:r>
          </w:p>
        </w:tc>
      </w:tr>
      <w:tr w:rsidR="007F2E85" w:rsidRPr="00E42024" w14:paraId="3B346146" w14:textId="77777777" w:rsidTr="00F819D7">
        <w:tc>
          <w:tcPr>
            <w:tcW w:w="2233" w:type="dxa"/>
            <w:shd w:val="pct12" w:color="auto" w:fill="auto"/>
            <w:hideMark/>
          </w:tcPr>
          <w:p w14:paraId="55DDF407" w14:textId="77777777" w:rsidR="007F2E85" w:rsidRPr="00E42024" w:rsidRDefault="007F2E85" w:rsidP="007F2E85">
            <w:pPr>
              <w:spacing w:before="60" w:after="60" w:line="240" w:lineRule="auto"/>
              <w:rPr>
                <w:rFonts w:ascii="Arial" w:eastAsia="Times New Roman" w:hAnsi="Arial" w:cs="Arial"/>
                <w:b/>
                <w:sz w:val="20"/>
                <w:szCs w:val="20"/>
                <w:lang w:eastAsia="en-GB"/>
              </w:rPr>
            </w:pPr>
            <w:r w:rsidRPr="00E42024">
              <w:rPr>
                <w:rFonts w:ascii="Arial" w:eastAsia="Times New Roman" w:hAnsi="Arial" w:cs="Arial"/>
                <w:b/>
                <w:sz w:val="20"/>
                <w:szCs w:val="20"/>
                <w:lang w:eastAsia="en-GB"/>
              </w:rPr>
              <w:t>Total</w:t>
            </w:r>
          </w:p>
        </w:tc>
        <w:tc>
          <w:tcPr>
            <w:tcW w:w="1367" w:type="dxa"/>
          </w:tcPr>
          <w:p w14:paraId="3EE782BD" w14:textId="5539BAF7" w:rsidR="007F2E85" w:rsidRPr="00E42024" w:rsidRDefault="007F2E85" w:rsidP="007F2E85">
            <w:pPr>
              <w:spacing w:before="60" w:after="6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165</w:t>
            </w:r>
          </w:p>
        </w:tc>
        <w:tc>
          <w:tcPr>
            <w:tcW w:w="1519" w:type="dxa"/>
            <w:gridSpan w:val="2"/>
          </w:tcPr>
          <w:p w14:paraId="528F7077" w14:textId="6F15B1A9" w:rsidR="007F2E85" w:rsidRPr="00E42024" w:rsidRDefault="007F2E85" w:rsidP="007F2E85">
            <w:pPr>
              <w:spacing w:before="60" w:after="6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200</w:t>
            </w:r>
          </w:p>
        </w:tc>
        <w:tc>
          <w:tcPr>
            <w:tcW w:w="1517" w:type="dxa"/>
          </w:tcPr>
          <w:p w14:paraId="63DA5CF8" w14:textId="12083802" w:rsidR="007F2E85" w:rsidRPr="00E42024" w:rsidRDefault="007F2E85" w:rsidP="007F2E85">
            <w:pPr>
              <w:spacing w:before="60" w:after="60" w:line="240" w:lineRule="auto"/>
              <w:jc w:val="center"/>
              <w:rPr>
                <w:rFonts w:ascii="Arial" w:eastAsia="Times New Roman" w:hAnsi="Arial" w:cs="Arial"/>
                <w:b/>
                <w:sz w:val="20"/>
                <w:szCs w:val="20"/>
                <w:lang w:eastAsia="en-GB"/>
              </w:rPr>
            </w:pPr>
          </w:p>
        </w:tc>
        <w:tc>
          <w:tcPr>
            <w:tcW w:w="1518" w:type="dxa"/>
            <w:gridSpan w:val="2"/>
            <w:shd w:val="clear" w:color="auto" w:fill="F2F2F2" w:themeFill="background1" w:themeFillShade="F2"/>
          </w:tcPr>
          <w:p w14:paraId="4B2D8AD5" w14:textId="6A388664" w:rsidR="007F2E85" w:rsidRPr="00F819D7" w:rsidRDefault="007F2E85" w:rsidP="007F2E85">
            <w:pPr>
              <w:spacing w:before="60" w:after="60" w:line="240" w:lineRule="auto"/>
              <w:jc w:val="center"/>
              <w:rPr>
                <w:rFonts w:ascii="Arial" w:eastAsia="Times New Roman" w:hAnsi="Arial" w:cs="Arial"/>
                <w:b/>
                <w:sz w:val="20"/>
                <w:szCs w:val="20"/>
                <w:lang w:eastAsia="en-GB"/>
              </w:rPr>
            </w:pPr>
          </w:p>
        </w:tc>
        <w:tc>
          <w:tcPr>
            <w:tcW w:w="1521" w:type="dxa"/>
            <w:gridSpan w:val="2"/>
            <w:shd w:val="clear" w:color="auto" w:fill="F2F2F2" w:themeFill="background1" w:themeFillShade="F2"/>
          </w:tcPr>
          <w:p w14:paraId="2D33E712" w14:textId="543E0451" w:rsidR="007F2E85" w:rsidRPr="00F819D7" w:rsidRDefault="007F2E85" w:rsidP="007F2E85">
            <w:pPr>
              <w:spacing w:before="60" w:after="60" w:line="240" w:lineRule="auto"/>
              <w:jc w:val="center"/>
              <w:rPr>
                <w:rFonts w:ascii="Arial" w:eastAsia="Times New Roman" w:hAnsi="Arial" w:cs="Arial"/>
                <w:b/>
                <w:sz w:val="20"/>
                <w:szCs w:val="20"/>
                <w:lang w:eastAsia="en-GB"/>
              </w:rPr>
            </w:pPr>
          </w:p>
        </w:tc>
      </w:tr>
      <w:tr w:rsidR="00902E08" w:rsidRPr="00E42024" w14:paraId="23D0F341" w14:textId="77777777" w:rsidTr="00152C4F">
        <w:tc>
          <w:tcPr>
            <w:tcW w:w="2233" w:type="dxa"/>
            <w:shd w:val="pct12" w:color="auto" w:fill="auto"/>
            <w:hideMark/>
          </w:tcPr>
          <w:p w14:paraId="63849C0F" w14:textId="77777777" w:rsidR="00902E08" w:rsidRPr="00E42024" w:rsidRDefault="00902E08" w:rsidP="00902E08">
            <w:pPr>
              <w:spacing w:before="60" w:after="60" w:line="240" w:lineRule="auto"/>
              <w:rPr>
                <w:rFonts w:ascii="Arial" w:eastAsia="Times New Roman" w:hAnsi="Arial" w:cs="Arial"/>
                <w:b/>
                <w:sz w:val="20"/>
                <w:szCs w:val="20"/>
                <w:lang w:eastAsia="en-GB"/>
              </w:rPr>
            </w:pPr>
            <w:r w:rsidRPr="00E42024">
              <w:rPr>
                <w:rFonts w:ascii="Arial" w:eastAsia="Times New Roman" w:hAnsi="Arial" w:cs="Arial"/>
                <w:b/>
                <w:sz w:val="20"/>
                <w:szCs w:val="20"/>
                <w:lang w:eastAsia="en-GB"/>
              </w:rPr>
              <w:t>Actions to address any pay gaps</w:t>
            </w:r>
          </w:p>
        </w:tc>
        <w:tc>
          <w:tcPr>
            <w:tcW w:w="7442" w:type="dxa"/>
            <w:gridSpan w:val="8"/>
            <w:shd w:val="pct12" w:color="auto" w:fill="auto"/>
            <w:hideMark/>
          </w:tcPr>
          <w:p w14:paraId="7163DF49" w14:textId="3DBE0E78" w:rsidR="00902E08" w:rsidRPr="00E42024" w:rsidRDefault="00902E08" w:rsidP="00902E08">
            <w:pPr>
              <w:spacing w:before="60" w:after="60" w:line="240" w:lineRule="auto"/>
              <w:rPr>
                <w:rFonts w:ascii="Arial" w:eastAsia="Times New Roman" w:hAnsi="Arial" w:cs="Arial"/>
                <w:sz w:val="20"/>
                <w:szCs w:val="20"/>
              </w:rPr>
            </w:pPr>
            <w:r w:rsidRPr="00E42024">
              <w:rPr>
                <w:rFonts w:ascii="Arial" w:eastAsia="Times New Roman" w:hAnsi="Arial" w:cs="Arial"/>
                <w:sz w:val="20"/>
                <w:szCs w:val="20"/>
              </w:rPr>
              <w:t xml:space="preserve">DCLT </w:t>
            </w:r>
            <w:r>
              <w:rPr>
                <w:rFonts w:ascii="Arial" w:eastAsia="Times New Roman" w:hAnsi="Arial" w:cs="Arial"/>
                <w:sz w:val="20"/>
                <w:szCs w:val="20"/>
              </w:rPr>
              <w:t>remains</w:t>
            </w:r>
            <w:r w:rsidRPr="00E42024">
              <w:rPr>
                <w:rFonts w:ascii="Arial" w:eastAsia="Times New Roman" w:hAnsi="Arial" w:cs="Arial"/>
                <w:sz w:val="20"/>
                <w:szCs w:val="20"/>
              </w:rPr>
              <w:t xml:space="preserve"> committed to </w:t>
            </w:r>
            <w:r w:rsidR="000177F1">
              <w:rPr>
                <w:rFonts w:ascii="Arial" w:eastAsia="Times New Roman" w:hAnsi="Arial" w:cs="Arial"/>
                <w:sz w:val="20"/>
                <w:szCs w:val="20"/>
              </w:rPr>
              <w:t xml:space="preserve">monitoring salaries and reviewing and </w:t>
            </w:r>
            <w:r w:rsidRPr="00E42024">
              <w:rPr>
                <w:rFonts w:ascii="Arial" w:eastAsia="Times New Roman" w:hAnsi="Arial" w:cs="Arial"/>
                <w:sz w:val="20"/>
                <w:szCs w:val="20"/>
              </w:rPr>
              <w:t xml:space="preserve">reducing </w:t>
            </w:r>
            <w:r>
              <w:rPr>
                <w:rFonts w:ascii="Arial" w:eastAsia="Times New Roman" w:hAnsi="Arial" w:cs="Arial"/>
                <w:sz w:val="20"/>
                <w:szCs w:val="20"/>
              </w:rPr>
              <w:t>any</w:t>
            </w:r>
            <w:r w:rsidRPr="00E42024">
              <w:rPr>
                <w:rFonts w:ascii="Arial" w:eastAsia="Times New Roman" w:hAnsi="Arial" w:cs="Arial"/>
                <w:sz w:val="20"/>
                <w:szCs w:val="20"/>
              </w:rPr>
              <w:t xml:space="preserve"> pay gaps</w:t>
            </w:r>
            <w:r w:rsidR="000177F1">
              <w:rPr>
                <w:rFonts w:ascii="Arial" w:eastAsia="Times New Roman" w:hAnsi="Arial" w:cs="Arial"/>
                <w:sz w:val="20"/>
                <w:szCs w:val="20"/>
              </w:rPr>
              <w:t>. A</w:t>
            </w:r>
            <w:r w:rsidRPr="00E42024">
              <w:rPr>
                <w:rFonts w:ascii="Arial" w:eastAsia="Times New Roman" w:hAnsi="Arial" w:cs="Arial"/>
                <w:sz w:val="20"/>
                <w:szCs w:val="20"/>
              </w:rPr>
              <w:t xml:space="preserve">ctions have </w:t>
            </w:r>
            <w:r w:rsidR="000177F1">
              <w:rPr>
                <w:rFonts w:ascii="Arial" w:eastAsia="Times New Roman" w:hAnsi="Arial" w:cs="Arial"/>
                <w:sz w:val="20"/>
                <w:szCs w:val="20"/>
              </w:rPr>
              <w:t>taken</w:t>
            </w:r>
            <w:r w:rsidRPr="00E42024">
              <w:rPr>
                <w:rFonts w:ascii="Arial" w:eastAsia="Times New Roman" w:hAnsi="Arial" w:cs="Arial"/>
                <w:sz w:val="20"/>
                <w:szCs w:val="20"/>
              </w:rPr>
              <w:t xml:space="preserve"> include:</w:t>
            </w:r>
          </w:p>
          <w:p w14:paraId="1F79ECAE" w14:textId="397BF8CD" w:rsidR="00902E08" w:rsidRPr="00E42024" w:rsidRDefault="00902E08" w:rsidP="00902E08">
            <w:pPr>
              <w:numPr>
                <w:ilvl w:val="0"/>
                <w:numId w:val="1"/>
              </w:numPr>
              <w:spacing w:before="60" w:after="60" w:line="240" w:lineRule="auto"/>
              <w:rPr>
                <w:rFonts w:ascii="Arial" w:eastAsia="Times New Roman" w:hAnsi="Arial" w:cs="Arial"/>
                <w:b/>
                <w:sz w:val="20"/>
                <w:szCs w:val="20"/>
                <w:lang w:eastAsia="en-GB"/>
              </w:rPr>
            </w:pPr>
            <w:r w:rsidRPr="00E42024">
              <w:rPr>
                <w:rFonts w:ascii="Arial" w:eastAsia="Times New Roman" w:hAnsi="Arial" w:cs="Arial"/>
                <w:sz w:val="20"/>
                <w:szCs w:val="20"/>
              </w:rPr>
              <w:t>reviewing pay to ensure it is applied fairly and equitably and that no gender, or other, bias is occurring</w:t>
            </w:r>
            <w:r w:rsidR="00E7295B">
              <w:rPr>
                <w:rFonts w:ascii="Arial" w:eastAsia="Times New Roman" w:hAnsi="Arial" w:cs="Arial"/>
                <w:sz w:val="20"/>
                <w:szCs w:val="20"/>
              </w:rPr>
              <w:t>.</w:t>
            </w:r>
          </w:p>
          <w:p w14:paraId="23799E1D" w14:textId="77777777" w:rsidR="00902E08" w:rsidRPr="00E42024" w:rsidRDefault="00902E08" w:rsidP="00902E08">
            <w:pPr>
              <w:numPr>
                <w:ilvl w:val="0"/>
                <w:numId w:val="1"/>
              </w:numPr>
              <w:spacing w:before="60" w:after="60" w:line="240" w:lineRule="auto"/>
              <w:rPr>
                <w:rFonts w:ascii="Arial" w:eastAsia="Times New Roman" w:hAnsi="Arial" w:cs="Arial"/>
                <w:b/>
                <w:sz w:val="20"/>
                <w:szCs w:val="20"/>
                <w:lang w:eastAsia="en-GB"/>
              </w:rPr>
            </w:pPr>
            <w:r w:rsidRPr="00E42024">
              <w:rPr>
                <w:rFonts w:ascii="Arial" w:eastAsia="Times New Roman" w:hAnsi="Arial" w:cs="Arial"/>
                <w:sz w:val="20"/>
                <w:szCs w:val="20"/>
              </w:rPr>
              <w:t>reviewing recruitment processes to try and attract more male candidates to roles in which they currently are under-represented, including running training courses for existing staff and potential employees to upskill them.</w:t>
            </w:r>
          </w:p>
          <w:p w14:paraId="0BB37C48" w14:textId="77777777" w:rsidR="00902E08" w:rsidRPr="00E42024" w:rsidRDefault="00902E08" w:rsidP="00902E08">
            <w:pPr>
              <w:numPr>
                <w:ilvl w:val="0"/>
                <w:numId w:val="1"/>
              </w:numPr>
              <w:spacing w:before="60" w:after="60" w:line="240" w:lineRule="auto"/>
              <w:rPr>
                <w:rFonts w:ascii="Arial" w:eastAsia="Times New Roman" w:hAnsi="Arial" w:cs="Arial"/>
                <w:b/>
                <w:sz w:val="20"/>
                <w:szCs w:val="20"/>
                <w:lang w:eastAsia="en-GB"/>
              </w:rPr>
            </w:pPr>
            <w:r w:rsidRPr="00E42024">
              <w:rPr>
                <w:rFonts w:ascii="Arial" w:eastAsia="Times New Roman" w:hAnsi="Arial" w:cs="Arial"/>
                <w:sz w:val="20"/>
                <w:szCs w:val="20"/>
              </w:rPr>
              <w:t xml:space="preserve">working closely with schools/colleges to develop a better understanding of employment opportunities within the organisation, including offering work experience placements and training </w:t>
            </w:r>
            <w:proofErr w:type="gramStart"/>
            <w:r w:rsidRPr="00E42024">
              <w:rPr>
                <w:rFonts w:ascii="Arial" w:eastAsia="Times New Roman" w:hAnsi="Arial" w:cs="Arial"/>
                <w:sz w:val="20"/>
                <w:szCs w:val="20"/>
              </w:rPr>
              <w:t>courses</w:t>
            </w:r>
            <w:proofErr w:type="gramEnd"/>
          </w:p>
          <w:p w14:paraId="7FB37D0A" w14:textId="1144A51D" w:rsidR="00902E08" w:rsidRPr="00E42024" w:rsidRDefault="00902E08" w:rsidP="00902E08">
            <w:pPr>
              <w:spacing w:before="60" w:after="60" w:line="240" w:lineRule="auto"/>
              <w:rPr>
                <w:rFonts w:ascii="Arial" w:eastAsia="Times New Roman" w:hAnsi="Arial" w:cs="Arial"/>
                <w:b/>
                <w:sz w:val="20"/>
                <w:szCs w:val="20"/>
                <w:highlight w:val="yellow"/>
                <w:lang w:eastAsia="en-GB"/>
              </w:rPr>
            </w:pPr>
            <w:r w:rsidRPr="00E42024">
              <w:rPr>
                <w:rFonts w:ascii="Arial" w:eastAsia="Times New Roman" w:hAnsi="Arial" w:cs="Arial"/>
                <w:sz w:val="20"/>
                <w:szCs w:val="20"/>
              </w:rPr>
              <w:t xml:space="preserve">We </w:t>
            </w:r>
            <w:r>
              <w:rPr>
                <w:rFonts w:ascii="Arial" w:eastAsia="Times New Roman" w:hAnsi="Arial" w:cs="Arial"/>
                <w:sz w:val="20"/>
                <w:szCs w:val="20"/>
              </w:rPr>
              <w:t>continue to</w:t>
            </w:r>
            <w:r w:rsidRPr="00E42024">
              <w:rPr>
                <w:rFonts w:ascii="Arial" w:eastAsia="Times New Roman" w:hAnsi="Arial" w:cs="Arial"/>
                <w:sz w:val="20"/>
                <w:szCs w:val="20"/>
              </w:rPr>
              <w:t xml:space="preserve"> monito</w:t>
            </w:r>
            <w:r>
              <w:rPr>
                <w:rFonts w:ascii="Arial" w:eastAsia="Times New Roman" w:hAnsi="Arial" w:cs="Arial"/>
                <w:sz w:val="20"/>
                <w:szCs w:val="20"/>
              </w:rPr>
              <w:t>r</w:t>
            </w:r>
            <w:r w:rsidRPr="00E42024">
              <w:rPr>
                <w:rFonts w:ascii="Arial" w:eastAsia="Times New Roman" w:hAnsi="Arial" w:cs="Arial"/>
                <w:sz w:val="20"/>
                <w:szCs w:val="20"/>
              </w:rPr>
              <w:t xml:space="preserve"> progress on a regular basis and reporting on this in future gender pay gap statements. These actions are part of, and integrated with, our broader approach to equality and diversity in the workplace</w:t>
            </w:r>
          </w:p>
        </w:tc>
      </w:tr>
      <w:tr w:rsidR="00902E08" w:rsidRPr="00E42024" w14:paraId="568757BF" w14:textId="77777777" w:rsidTr="00152C4F">
        <w:tc>
          <w:tcPr>
            <w:tcW w:w="2233" w:type="dxa"/>
            <w:vMerge w:val="restart"/>
            <w:tcBorders>
              <w:bottom w:val="nil"/>
            </w:tcBorders>
            <w:shd w:val="pct12" w:color="auto" w:fill="auto"/>
            <w:hideMark/>
          </w:tcPr>
          <w:p w14:paraId="2210B997" w14:textId="77777777" w:rsidR="00902E08" w:rsidRPr="00E42024" w:rsidRDefault="00902E08" w:rsidP="00902E08">
            <w:pPr>
              <w:spacing w:before="60" w:after="60" w:line="240" w:lineRule="auto"/>
              <w:rPr>
                <w:rFonts w:ascii="Arial" w:eastAsia="Times New Roman" w:hAnsi="Arial" w:cs="Arial"/>
                <w:b/>
                <w:sz w:val="20"/>
                <w:szCs w:val="20"/>
                <w:lang w:eastAsia="en-GB"/>
              </w:rPr>
            </w:pPr>
            <w:r w:rsidRPr="00E42024">
              <w:rPr>
                <w:rFonts w:ascii="Arial" w:eastAsia="Times New Roman" w:hAnsi="Arial" w:cs="Arial"/>
                <w:b/>
                <w:sz w:val="20"/>
                <w:szCs w:val="20"/>
              </w:rPr>
              <w:t>Statement confirming the accuracy of the information</w:t>
            </w:r>
          </w:p>
        </w:tc>
        <w:tc>
          <w:tcPr>
            <w:tcW w:w="7442" w:type="dxa"/>
            <w:gridSpan w:val="8"/>
            <w:shd w:val="pct12" w:color="auto" w:fill="auto"/>
            <w:hideMark/>
          </w:tcPr>
          <w:p w14:paraId="76AC9970" w14:textId="77777777" w:rsidR="00902E08" w:rsidRPr="00E42024" w:rsidRDefault="00902E08" w:rsidP="00902E08">
            <w:pPr>
              <w:spacing w:before="60" w:after="60" w:line="240" w:lineRule="auto"/>
              <w:rPr>
                <w:rFonts w:ascii="Arial" w:eastAsia="Times New Roman" w:hAnsi="Arial" w:cs="Arial"/>
                <w:sz w:val="20"/>
                <w:szCs w:val="20"/>
              </w:rPr>
            </w:pPr>
          </w:p>
        </w:tc>
      </w:tr>
      <w:tr w:rsidR="00902E08" w:rsidRPr="00E42024" w14:paraId="3AECEA51" w14:textId="77777777" w:rsidTr="00152C4F">
        <w:trPr>
          <w:trHeight w:val="85"/>
        </w:trPr>
        <w:tc>
          <w:tcPr>
            <w:tcW w:w="2233" w:type="dxa"/>
            <w:vMerge/>
            <w:tcBorders>
              <w:bottom w:val="nil"/>
            </w:tcBorders>
            <w:vAlign w:val="center"/>
            <w:hideMark/>
          </w:tcPr>
          <w:p w14:paraId="213E102F" w14:textId="77777777" w:rsidR="00902E08" w:rsidRPr="00E42024" w:rsidRDefault="00902E08" w:rsidP="00902E08">
            <w:pPr>
              <w:spacing w:after="0" w:line="240" w:lineRule="auto"/>
              <w:rPr>
                <w:rFonts w:ascii="Arial" w:eastAsia="Times New Roman" w:hAnsi="Arial" w:cs="Arial"/>
                <w:b/>
                <w:sz w:val="20"/>
                <w:szCs w:val="20"/>
                <w:lang w:eastAsia="en-GB"/>
              </w:rPr>
            </w:pPr>
          </w:p>
        </w:tc>
        <w:tc>
          <w:tcPr>
            <w:tcW w:w="7442" w:type="dxa"/>
            <w:gridSpan w:val="8"/>
            <w:tcBorders>
              <w:bottom w:val="nil"/>
            </w:tcBorders>
            <w:shd w:val="pct12" w:color="auto" w:fill="auto"/>
          </w:tcPr>
          <w:p w14:paraId="64FF8DB9" w14:textId="77777777" w:rsidR="00902E08" w:rsidRPr="00E42024" w:rsidRDefault="00902E08" w:rsidP="00902E08">
            <w:pPr>
              <w:spacing w:before="60" w:after="60" w:line="240" w:lineRule="auto"/>
              <w:rPr>
                <w:rFonts w:ascii="Arial" w:eastAsia="Times New Roman" w:hAnsi="Arial" w:cs="Arial"/>
                <w:sz w:val="16"/>
                <w:szCs w:val="16"/>
                <w:lang w:eastAsia="en-GB"/>
              </w:rPr>
            </w:pPr>
          </w:p>
        </w:tc>
      </w:tr>
      <w:tr w:rsidR="00902E08" w:rsidRPr="00E42024" w14:paraId="4DF74264" w14:textId="77777777" w:rsidTr="00152C4F">
        <w:tc>
          <w:tcPr>
            <w:tcW w:w="2233" w:type="dxa"/>
            <w:vMerge/>
            <w:tcBorders>
              <w:bottom w:val="nil"/>
            </w:tcBorders>
            <w:vAlign w:val="center"/>
            <w:hideMark/>
          </w:tcPr>
          <w:p w14:paraId="2DE605C9" w14:textId="77777777" w:rsidR="00902E08" w:rsidRPr="00E42024" w:rsidRDefault="00902E08" w:rsidP="00902E08">
            <w:pPr>
              <w:spacing w:after="0" w:line="240" w:lineRule="auto"/>
              <w:rPr>
                <w:rFonts w:ascii="Arial" w:eastAsia="Times New Roman" w:hAnsi="Arial" w:cs="Arial"/>
                <w:b/>
                <w:sz w:val="20"/>
                <w:szCs w:val="20"/>
                <w:lang w:eastAsia="en-GB"/>
              </w:rPr>
            </w:pPr>
          </w:p>
        </w:tc>
        <w:tc>
          <w:tcPr>
            <w:tcW w:w="1982" w:type="dxa"/>
            <w:gridSpan w:val="2"/>
            <w:tcBorders>
              <w:top w:val="nil"/>
              <w:bottom w:val="nil"/>
            </w:tcBorders>
            <w:shd w:val="pct12" w:color="auto" w:fill="auto"/>
            <w:hideMark/>
          </w:tcPr>
          <w:p w14:paraId="6C78BA1F" w14:textId="77777777" w:rsidR="00902E08" w:rsidRPr="00E42024" w:rsidRDefault="00902E08" w:rsidP="00902E08">
            <w:pPr>
              <w:spacing w:before="60" w:after="60" w:line="240" w:lineRule="auto"/>
              <w:rPr>
                <w:rFonts w:ascii="Arial" w:eastAsia="Times New Roman" w:hAnsi="Arial" w:cs="Arial"/>
                <w:sz w:val="20"/>
                <w:szCs w:val="20"/>
                <w:lang w:eastAsia="en-GB"/>
              </w:rPr>
            </w:pPr>
            <w:r w:rsidRPr="00E42024">
              <w:rPr>
                <w:rFonts w:ascii="Arial" w:eastAsia="Times New Roman" w:hAnsi="Arial" w:cs="Arial"/>
                <w:sz w:val="20"/>
                <w:szCs w:val="20"/>
                <w:lang w:eastAsia="en-GB"/>
              </w:rPr>
              <w:t>Signature</w:t>
            </w:r>
          </w:p>
        </w:tc>
        <w:tc>
          <w:tcPr>
            <w:tcW w:w="5221" w:type="dxa"/>
            <w:gridSpan w:val="5"/>
          </w:tcPr>
          <w:p w14:paraId="6E8929C0" w14:textId="150456D6" w:rsidR="00902E08" w:rsidRPr="00E42024" w:rsidRDefault="00902E08" w:rsidP="00902E08">
            <w:pPr>
              <w:spacing w:before="60" w:after="60" w:line="240" w:lineRule="auto"/>
              <w:rPr>
                <w:rFonts w:ascii="Arial" w:eastAsia="Times New Roman" w:hAnsi="Arial" w:cs="Arial"/>
                <w:sz w:val="20"/>
                <w:szCs w:val="20"/>
                <w:lang w:eastAsia="en-GB"/>
              </w:rPr>
            </w:pPr>
          </w:p>
        </w:tc>
        <w:tc>
          <w:tcPr>
            <w:tcW w:w="239" w:type="dxa"/>
            <w:tcBorders>
              <w:top w:val="nil"/>
              <w:bottom w:val="nil"/>
            </w:tcBorders>
            <w:shd w:val="pct12" w:color="auto" w:fill="auto"/>
          </w:tcPr>
          <w:p w14:paraId="1F139992" w14:textId="77777777" w:rsidR="00902E08" w:rsidRPr="00E42024" w:rsidRDefault="00902E08" w:rsidP="00902E08">
            <w:pPr>
              <w:spacing w:before="60" w:after="60" w:line="240" w:lineRule="auto"/>
              <w:rPr>
                <w:rFonts w:ascii="Arial" w:eastAsia="Times New Roman" w:hAnsi="Arial" w:cs="Arial"/>
                <w:sz w:val="20"/>
                <w:szCs w:val="20"/>
                <w:lang w:eastAsia="en-GB"/>
              </w:rPr>
            </w:pPr>
          </w:p>
        </w:tc>
      </w:tr>
      <w:tr w:rsidR="00902E08" w:rsidRPr="00E42024" w14:paraId="23342E80" w14:textId="77777777" w:rsidTr="00152C4F">
        <w:trPr>
          <w:trHeight w:val="85"/>
        </w:trPr>
        <w:tc>
          <w:tcPr>
            <w:tcW w:w="2233" w:type="dxa"/>
            <w:vMerge/>
            <w:tcBorders>
              <w:bottom w:val="nil"/>
            </w:tcBorders>
            <w:vAlign w:val="center"/>
            <w:hideMark/>
          </w:tcPr>
          <w:p w14:paraId="21BAD3B1" w14:textId="77777777" w:rsidR="00902E08" w:rsidRPr="00E42024" w:rsidRDefault="00902E08" w:rsidP="00902E08">
            <w:pPr>
              <w:spacing w:after="0" w:line="240" w:lineRule="auto"/>
              <w:rPr>
                <w:rFonts w:ascii="Arial" w:eastAsia="Times New Roman" w:hAnsi="Arial" w:cs="Arial"/>
                <w:b/>
                <w:sz w:val="20"/>
                <w:szCs w:val="20"/>
                <w:lang w:eastAsia="en-GB"/>
              </w:rPr>
            </w:pPr>
          </w:p>
        </w:tc>
        <w:tc>
          <w:tcPr>
            <w:tcW w:w="7442" w:type="dxa"/>
            <w:gridSpan w:val="8"/>
            <w:tcBorders>
              <w:top w:val="nil"/>
            </w:tcBorders>
            <w:shd w:val="pct12" w:color="auto" w:fill="auto"/>
          </w:tcPr>
          <w:p w14:paraId="1757ED38" w14:textId="77777777" w:rsidR="00902E08" w:rsidRPr="00E42024" w:rsidRDefault="00902E08" w:rsidP="00902E08">
            <w:pPr>
              <w:spacing w:before="60" w:after="60" w:line="240" w:lineRule="auto"/>
              <w:rPr>
                <w:rFonts w:ascii="Arial" w:eastAsia="Times New Roman" w:hAnsi="Arial" w:cs="Arial"/>
                <w:sz w:val="16"/>
                <w:szCs w:val="16"/>
                <w:lang w:eastAsia="en-GB"/>
              </w:rPr>
            </w:pPr>
          </w:p>
        </w:tc>
      </w:tr>
      <w:tr w:rsidR="00902E08" w:rsidRPr="00E42024" w14:paraId="7B2E896A" w14:textId="77777777" w:rsidTr="00152C4F">
        <w:trPr>
          <w:trHeight w:val="85"/>
        </w:trPr>
        <w:tc>
          <w:tcPr>
            <w:tcW w:w="2233" w:type="dxa"/>
            <w:vMerge/>
            <w:tcBorders>
              <w:bottom w:val="nil"/>
            </w:tcBorders>
            <w:vAlign w:val="center"/>
            <w:hideMark/>
          </w:tcPr>
          <w:p w14:paraId="23E89DF9" w14:textId="77777777" w:rsidR="00902E08" w:rsidRPr="00E42024" w:rsidRDefault="00902E08" w:rsidP="00902E08">
            <w:pPr>
              <w:spacing w:after="0" w:line="240" w:lineRule="auto"/>
              <w:rPr>
                <w:rFonts w:ascii="Arial" w:eastAsia="Times New Roman" w:hAnsi="Arial" w:cs="Arial"/>
                <w:b/>
                <w:sz w:val="20"/>
                <w:szCs w:val="20"/>
                <w:lang w:eastAsia="en-GB"/>
              </w:rPr>
            </w:pPr>
          </w:p>
        </w:tc>
        <w:tc>
          <w:tcPr>
            <w:tcW w:w="7442" w:type="dxa"/>
            <w:gridSpan w:val="8"/>
            <w:tcBorders>
              <w:bottom w:val="nil"/>
            </w:tcBorders>
            <w:shd w:val="pct12" w:color="auto" w:fill="auto"/>
          </w:tcPr>
          <w:p w14:paraId="2E011926" w14:textId="77777777" w:rsidR="00902E08" w:rsidRPr="00E42024" w:rsidRDefault="00902E08" w:rsidP="00902E08">
            <w:pPr>
              <w:spacing w:before="60" w:after="60" w:line="240" w:lineRule="auto"/>
              <w:rPr>
                <w:rFonts w:ascii="Arial" w:eastAsia="Times New Roman" w:hAnsi="Arial" w:cs="Arial"/>
                <w:sz w:val="16"/>
                <w:szCs w:val="16"/>
                <w:lang w:eastAsia="en-GB"/>
              </w:rPr>
            </w:pPr>
          </w:p>
        </w:tc>
      </w:tr>
      <w:tr w:rsidR="00902E08" w:rsidRPr="00E42024" w14:paraId="0ED0D4C4" w14:textId="77777777" w:rsidTr="00152C4F">
        <w:tc>
          <w:tcPr>
            <w:tcW w:w="2233" w:type="dxa"/>
            <w:vMerge/>
            <w:tcBorders>
              <w:bottom w:val="nil"/>
            </w:tcBorders>
            <w:vAlign w:val="center"/>
            <w:hideMark/>
          </w:tcPr>
          <w:p w14:paraId="435A93B4" w14:textId="77777777" w:rsidR="00902E08" w:rsidRPr="00E42024" w:rsidRDefault="00902E08" w:rsidP="00902E08">
            <w:pPr>
              <w:spacing w:after="0" w:line="240" w:lineRule="auto"/>
              <w:rPr>
                <w:rFonts w:ascii="Arial" w:eastAsia="Times New Roman" w:hAnsi="Arial" w:cs="Arial"/>
                <w:b/>
                <w:sz w:val="20"/>
                <w:szCs w:val="20"/>
                <w:lang w:eastAsia="en-GB"/>
              </w:rPr>
            </w:pPr>
          </w:p>
        </w:tc>
        <w:tc>
          <w:tcPr>
            <w:tcW w:w="1982" w:type="dxa"/>
            <w:gridSpan w:val="2"/>
            <w:tcBorders>
              <w:top w:val="nil"/>
              <w:bottom w:val="nil"/>
            </w:tcBorders>
            <w:shd w:val="pct12" w:color="auto" w:fill="auto"/>
            <w:hideMark/>
          </w:tcPr>
          <w:p w14:paraId="04E14553" w14:textId="77777777" w:rsidR="00902E08" w:rsidRPr="00E42024" w:rsidRDefault="00902E08" w:rsidP="00902E08">
            <w:pPr>
              <w:spacing w:before="60" w:after="60" w:line="240" w:lineRule="auto"/>
              <w:rPr>
                <w:rFonts w:ascii="Arial" w:eastAsia="Times New Roman" w:hAnsi="Arial" w:cs="Arial"/>
                <w:sz w:val="20"/>
                <w:szCs w:val="20"/>
                <w:lang w:eastAsia="en-GB"/>
              </w:rPr>
            </w:pPr>
            <w:r w:rsidRPr="00E42024">
              <w:rPr>
                <w:rFonts w:ascii="Arial" w:eastAsia="Times New Roman" w:hAnsi="Arial" w:cs="Arial"/>
                <w:sz w:val="20"/>
                <w:szCs w:val="20"/>
                <w:lang w:eastAsia="en-GB"/>
              </w:rPr>
              <w:t>Name</w:t>
            </w:r>
          </w:p>
        </w:tc>
        <w:tc>
          <w:tcPr>
            <w:tcW w:w="5221" w:type="dxa"/>
            <w:gridSpan w:val="5"/>
            <w:hideMark/>
          </w:tcPr>
          <w:p w14:paraId="512D27F7" w14:textId="77777777" w:rsidR="00902E08" w:rsidRPr="00E42024" w:rsidRDefault="00902E08" w:rsidP="00902E08">
            <w:pPr>
              <w:spacing w:before="60" w:after="60" w:line="240" w:lineRule="auto"/>
              <w:rPr>
                <w:rFonts w:ascii="Arial" w:eastAsia="Times New Roman" w:hAnsi="Arial" w:cs="Arial"/>
                <w:sz w:val="20"/>
                <w:szCs w:val="20"/>
                <w:lang w:eastAsia="en-GB"/>
              </w:rPr>
            </w:pPr>
            <w:r w:rsidRPr="00E42024">
              <w:rPr>
                <w:rFonts w:ascii="Arial" w:eastAsia="Times New Roman" w:hAnsi="Arial" w:cs="Arial"/>
                <w:sz w:val="20"/>
                <w:szCs w:val="20"/>
                <w:lang w:eastAsia="en-GB"/>
              </w:rPr>
              <w:t>Michael Hart</w:t>
            </w:r>
          </w:p>
        </w:tc>
        <w:tc>
          <w:tcPr>
            <w:tcW w:w="239" w:type="dxa"/>
            <w:tcBorders>
              <w:top w:val="nil"/>
              <w:bottom w:val="nil"/>
            </w:tcBorders>
            <w:shd w:val="pct12" w:color="auto" w:fill="auto"/>
          </w:tcPr>
          <w:p w14:paraId="4C630C04" w14:textId="77777777" w:rsidR="00902E08" w:rsidRPr="00E42024" w:rsidRDefault="00902E08" w:rsidP="00902E08">
            <w:pPr>
              <w:spacing w:before="60" w:after="60" w:line="240" w:lineRule="auto"/>
              <w:rPr>
                <w:rFonts w:ascii="Arial" w:eastAsia="Times New Roman" w:hAnsi="Arial" w:cs="Arial"/>
                <w:sz w:val="20"/>
                <w:szCs w:val="20"/>
                <w:lang w:eastAsia="en-GB"/>
              </w:rPr>
            </w:pPr>
          </w:p>
        </w:tc>
      </w:tr>
      <w:tr w:rsidR="00902E08" w:rsidRPr="00E42024" w14:paraId="11C7BF05" w14:textId="77777777" w:rsidTr="00152C4F">
        <w:trPr>
          <w:trHeight w:val="85"/>
        </w:trPr>
        <w:tc>
          <w:tcPr>
            <w:tcW w:w="2233" w:type="dxa"/>
            <w:vMerge/>
            <w:tcBorders>
              <w:bottom w:val="nil"/>
            </w:tcBorders>
            <w:vAlign w:val="center"/>
            <w:hideMark/>
          </w:tcPr>
          <w:p w14:paraId="7C7F1879" w14:textId="77777777" w:rsidR="00902E08" w:rsidRPr="00E42024" w:rsidRDefault="00902E08" w:rsidP="00902E08">
            <w:pPr>
              <w:spacing w:after="0" w:line="240" w:lineRule="auto"/>
              <w:rPr>
                <w:rFonts w:ascii="Arial" w:eastAsia="Times New Roman" w:hAnsi="Arial" w:cs="Arial"/>
                <w:b/>
                <w:sz w:val="20"/>
                <w:szCs w:val="20"/>
                <w:lang w:eastAsia="en-GB"/>
              </w:rPr>
            </w:pPr>
          </w:p>
        </w:tc>
        <w:tc>
          <w:tcPr>
            <w:tcW w:w="7442" w:type="dxa"/>
            <w:gridSpan w:val="8"/>
            <w:tcBorders>
              <w:top w:val="nil"/>
            </w:tcBorders>
            <w:shd w:val="pct12" w:color="auto" w:fill="auto"/>
          </w:tcPr>
          <w:p w14:paraId="32DADFC8" w14:textId="77777777" w:rsidR="00902E08" w:rsidRPr="00E42024" w:rsidRDefault="00902E08" w:rsidP="00902E08">
            <w:pPr>
              <w:spacing w:before="60" w:after="60" w:line="240" w:lineRule="auto"/>
              <w:rPr>
                <w:rFonts w:ascii="Arial" w:eastAsia="Times New Roman" w:hAnsi="Arial" w:cs="Arial"/>
                <w:sz w:val="16"/>
                <w:szCs w:val="16"/>
                <w:lang w:eastAsia="en-GB"/>
              </w:rPr>
            </w:pPr>
          </w:p>
        </w:tc>
      </w:tr>
      <w:tr w:rsidR="00902E08" w:rsidRPr="00E42024" w14:paraId="5C1EA240" w14:textId="77777777" w:rsidTr="00152C4F">
        <w:trPr>
          <w:trHeight w:val="85"/>
        </w:trPr>
        <w:tc>
          <w:tcPr>
            <w:tcW w:w="2233" w:type="dxa"/>
            <w:vMerge/>
            <w:tcBorders>
              <w:bottom w:val="nil"/>
            </w:tcBorders>
            <w:vAlign w:val="center"/>
            <w:hideMark/>
          </w:tcPr>
          <w:p w14:paraId="36F7E19B" w14:textId="77777777" w:rsidR="00902E08" w:rsidRPr="00E42024" w:rsidRDefault="00902E08" w:rsidP="00902E08">
            <w:pPr>
              <w:spacing w:after="0" w:line="240" w:lineRule="auto"/>
              <w:rPr>
                <w:rFonts w:ascii="Arial" w:eastAsia="Times New Roman" w:hAnsi="Arial" w:cs="Arial"/>
                <w:b/>
                <w:sz w:val="20"/>
                <w:szCs w:val="20"/>
                <w:lang w:eastAsia="en-GB"/>
              </w:rPr>
            </w:pPr>
          </w:p>
        </w:tc>
        <w:tc>
          <w:tcPr>
            <w:tcW w:w="7442" w:type="dxa"/>
            <w:gridSpan w:val="8"/>
            <w:tcBorders>
              <w:bottom w:val="nil"/>
            </w:tcBorders>
            <w:shd w:val="pct12" w:color="auto" w:fill="auto"/>
          </w:tcPr>
          <w:p w14:paraId="5E96D963" w14:textId="77777777" w:rsidR="00902E08" w:rsidRPr="00E42024" w:rsidRDefault="00902E08" w:rsidP="00902E08">
            <w:pPr>
              <w:spacing w:before="60" w:after="60" w:line="240" w:lineRule="auto"/>
              <w:rPr>
                <w:rFonts w:ascii="Arial" w:eastAsia="Times New Roman" w:hAnsi="Arial" w:cs="Arial"/>
                <w:sz w:val="16"/>
                <w:szCs w:val="16"/>
                <w:lang w:eastAsia="en-GB"/>
              </w:rPr>
            </w:pPr>
          </w:p>
        </w:tc>
      </w:tr>
      <w:tr w:rsidR="00902E08" w:rsidRPr="00E42024" w14:paraId="4624E5F2" w14:textId="77777777" w:rsidTr="00152C4F">
        <w:tc>
          <w:tcPr>
            <w:tcW w:w="2233" w:type="dxa"/>
            <w:vMerge/>
            <w:tcBorders>
              <w:bottom w:val="nil"/>
            </w:tcBorders>
            <w:vAlign w:val="center"/>
            <w:hideMark/>
          </w:tcPr>
          <w:p w14:paraId="1E4351AF" w14:textId="77777777" w:rsidR="00902E08" w:rsidRPr="00E42024" w:rsidRDefault="00902E08" w:rsidP="00902E08">
            <w:pPr>
              <w:spacing w:after="0" w:line="240" w:lineRule="auto"/>
              <w:rPr>
                <w:rFonts w:ascii="Arial" w:eastAsia="Times New Roman" w:hAnsi="Arial" w:cs="Arial"/>
                <w:b/>
                <w:sz w:val="20"/>
                <w:szCs w:val="20"/>
                <w:lang w:eastAsia="en-GB"/>
              </w:rPr>
            </w:pPr>
          </w:p>
        </w:tc>
        <w:tc>
          <w:tcPr>
            <w:tcW w:w="1982" w:type="dxa"/>
            <w:gridSpan w:val="2"/>
            <w:tcBorders>
              <w:top w:val="nil"/>
              <w:bottom w:val="nil"/>
            </w:tcBorders>
            <w:shd w:val="pct12" w:color="auto" w:fill="auto"/>
            <w:hideMark/>
          </w:tcPr>
          <w:p w14:paraId="17A177A6" w14:textId="77777777" w:rsidR="00902E08" w:rsidRPr="00E42024" w:rsidRDefault="00902E08" w:rsidP="00902E08">
            <w:pPr>
              <w:spacing w:before="60" w:after="60" w:line="240" w:lineRule="auto"/>
              <w:rPr>
                <w:rFonts w:ascii="Arial" w:eastAsia="Times New Roman" w:hAnsi="Arial" w:cs="Arial"/>
                <w:sz w:val="20"/>
                <w:szCs w:val="20"/>
                <w:lang w:eastAsia="en-GB"/>
              </w:rPr>
            </w:pPr>
            <w:r w:rsidRPr="00E42024">
              <w:rPr>
                <w:rFonts w:ascii="Arial" w:eastAsia="Times New Roman" w:hAnsi="Arial" w:cs="Arial"/>
                <w:sz w:val="20"/>
                <w:szCs w:val="20"/>
                <w:lang w:eastAsia="en-GB"/>
              </w:rPr>
              <w:t>Job title</w:t>
            </w:r>
          </w:p>
        </w:tc>
        <w:tc>
          <w:tcPr>
            <w:tcW w:w="5221" w:type="dxa"/>
            <w:gridSpan w:val="5"/>
            <w:hideMark/>
          </w:tcPr>
          <w:p w14:paraId="2877E350" w14:textId="77777777" w:rsidR="00902E08" w:rsidRPr="00E42024" w:rsidRDefault="00902E08" w:rsidP="00902E08">
            <w:pPr>
              <w:spacing w:before="60" w:after="60" w:line="240" w:lineRule="auto"/>
              <w:rPr>
                <w:rFonts w:ascii="Arial" w:eastAsia="Times New Roman" w:hAnsi="Arial" w:cs="Arial"/>
                <w:sz w:val="20"/>
                <w:szCs w:val="20"/>
                <w:lang w:eastAsia="en-GB"/>
              </w:rPr>
            </w:pPr>
            <w:r w:rsidRPr="00E42024">
              <w:rPr>
                <w:rFonts w:ascii="Arial" w:eastAsia="Times New Roman" w:hAnsi="Arial" w:cs="Arial"/>
                <w:sz w:val="20"/>
                <w:szCs w:val="20"/>
                <w:lang w:eastAsia="en-GB"/>
              </w:rPr>
              <w:t>Chief Executive</w:t>
            </w:r>
          </w:p>
        </w:tc>
        <w:tc>
          <w:tcPr>
            <w:tcW w:w="239" w:type="dxa"/>
            <w:tcBorders>
              <w:top w:val="nil"/>
              <w:bottom w:val="nil"/>
            </w:tcBorders>
            <w:shd w:val="pct12" w:color="auto" w:fill="auto"/>
          </w:tcPr>
          <w:p w14:paraId="1A583CE5" w14:textId="77777777" w:rsidR="00902E08" w:rsidRPr="00E42024" w:rsidRDefault="00902E08" w:rsidP="00902E08">
            <w:pPr>
              <w:spacing w:before="60" w:after="60" w:line="240" w:lineRule="auto"/>
              <w:rPr>
                <w:rFonts w:ascii="Arial" w:eastAsia="Times New Roman" w:hAnsi="Arial" w:cs="Arial"/>
                <w:sz w:val="20"/>
                <w:szCs w:val="20"/>
                <w:lang w:eastAsia="en-GB"/>
              </w:rPr>
            </w:pPr>
          </w:p>
        </w:tc>
      </w:tr>
      <w:tr w:rsidR="00902E08" w:rsidRPr="00E42024" w14:paraId="2184E087" w14:textId="77777777" w:rsidTr="00152C4F">
        <w:trPr>
          <w:trHeight w:val="85"/>
        </w:trPr>
        <w:tc>
          <w:tcPr>
            <w:tcW w:w="2233" w:type="dxa"/>
            <w:vMerge/>
            <w:tcBorders>
              <w:bottom w:val="nil"/>
            </w:tcBorders>
            <w:vAlign w:val="center"/>
            <w:hideMark/>
          </w:tcPr>
          <w:p w14:paraId="10965D11" w14:textId="77777777" w:rsidR="00902E08" w:rsidRPr="00E42024" w:rsidRDefault="00902E08" w:rsidP="00902E08">
            <w:pPr>
              <w:spacing w:after="0" w:line="240" w:lineRule="auto"/>
              <w:rPr>
                <w:rFonts w:ascii="Arial" w:eastAsia="Times New Roman" w:hAnsi="Arial" w:cs="Arial"/>
                <w:b/>
                <w:sz w:val="20"/>
                <w:szCs w:val="20"/>
                <w:lang w:eastAsia="en-GB"/>
              </w:rPr>
            </w:pPr>
          </w:p>
        </w:tc>
        <w:tc>
          <w:tcPr>
            <w:tcW w:w="7442" w:type="dxa"/>
            <w:gridSpan w:val="8"/>
            <w:tcBorders>
              <w:top w:val="nil"/>
            </w:tcBorders>
            <w:shd w:val="pct12" w:color="auto" w:fill="auto"/>
          </w:tcPr>
          <w:p w14:paraId="737D1B15" w14:textId="77777777" w:rsidR="00902E08" w:rsidRPr="00E42024" w:rsidRDefault="00902E08" w:rsidP="00902E08">
            <w:pPr>
              <w:spacing w:before="60" w:after="60" w:line="240" w:lineRule="auto"/>
              <w:rPr>
                <w:rFonts w:ascii="Arial" w:eastAsia="Times New Roman" w:hAnsi="Arial" w:cs="Arial"/>
                <w:sz w:val="16"/>
                <w:szCs w:val="16"/>
                <w:lang w:eastAsia="en-GB"/>
              </w:rPr>
            </w:pPr>
          </w:p>
        </w:tc>
      </w:tr>
      <w:tr w:rsidR="00902E08" w:rsidRPr="00E42024" w14:paraId="26D284D0" w14:textId="77777777" w:rsidTr="00152C4F">
        <w:trPr>
          <w:trHeight w:val="85"/>
        </w:trPr>
        <w:tc>
          <w:tcPr>
            <w:tcW w:w="2233" w:type="dxa"/>
            <w:vMerge/>
            <w:tcBorders>
              <w:bottom w:val="nil"/>
            </w:tcBorders>
            <w:vAlign w:val="center"/>
            <w:hideMark/>
          </w:tcPr>
          <w:p w14:paraId="01A6641A" w14:textId="77777777" w:rsidR="00902E08" w:rsidRPr="00E42024" w:rsidRDefault="00902E08" w:rsidP="00902E08">
            <w:pPr>
              <w:spacing w:after="0" w:line="240" w:lineRule="auto"/>
              <w:rPr>
                <w:rFonts w:ascii="Arial" w:eastAsia="Times New Roman" w:hAnsi="Arial" w:cs="Arial"/>
                <w:b/>
                <w:sz w:val="20"/>
                <w:szCs w:val="20"/>
                <w:lang w:eastAsia="en-GB"/>
              </w:rPr>
            </w:pPr>
          </w:p>
        </w:tc>
        <w:tc>
          <w:tcPr>
            <w:tcW w:w="7442" w:type="dxa"/>
            <w:gridSpan w:val="8"/>
            <w:tcBorders>
              <w:bottom w:val="nil"/>
            </w:tcBorders>
            <w:shd w:val="pct12" w:color="auto" w:fill="auto"/>
          </w:tcPr>
          <w:p w14:paraId="675AF0BE" w14:textId="77777777" w:rsidR="00902E08" w:rsidRPr="00E42024" w:rsidRDefault="00902E08" w:rsidP="00902E08">
            <w:pPr>
              <w:spacing w:before="60" w:after="60" w:line="240" w:lineRule="auto"/>
              <w:rPr>
                <w:rFonts w:ascii="Arial" w:eastAsia="Times New Roman" w:hAnsi="Arial" w:cs="Arial"/>
                <w:sz w:val="16"/>
                <w:szCs w:val="16"/>
                <w:lang w:eastAsia="en-GB"/>
              </w:rPr>
            </w:pPr>
          </w:p>
        </w:tc>
      </w:tr>
      <w:tr w:rsidR="00902E08" w:rsidRPr="00E42024" w14:paraId="4612EAA0" w14:textId="77777777" w:rsidTr="00152C4F">
        <w:tc>
          <w:tcPr>
            <w:tcW w:w="2233" w:type="dxa"/>
            <w:vMerge/>
            <w:tcBorders>
              <w:bottom w:val="nil"/>
            </w:tcBorders>
            <w:vAlign w:val="center"/>
            <w:hideMark/>
          </w:tcPr>
          <w:p w14:paraId="753DF20E" w14:textId="77777777" w:rsidR="00902E08" w:rsidRPr="00E42024" w:rsidRDefault="00902E08" w:rsidP="00902E08">
            <w:pPr>
              <w:spacing w:after="0" w:line="240" w:lineRule="auto"/>
              <w:rPr>
                <w:rFonts w:ascii="Arial" w:eastAsia="Times New Roman" w:hAnsi="Arial" w:cs="Arial"/>
                <w:b/>
                <w:sz w:val="20"/>
                <w:szCs w:val="20"/>
                <w:lang w:eastAsia="en-GB"/>
              </w:rPr>
            </w:pPr>
          </w:p>
        </w:tc>
        <w:tc>
          <w:tcPr>
            <w:tcW w:w="1982" w:type="dxa"/>
            <w:gridSpan w:val="2"/>
            <w:tcBorders>
              <w:top w:val="nil"/>
              <w:bottom w:val="nil"/>
            </w:tcBorders>
            <w:shd w:val="pct12" w:color="auto" w:fill="auto"/>
            <w:hideMark/>
          </w:tcPr>
          <w:p w14:paraId="647C02C3" w14:textId="77777777" w:rsidR="00902E08" w:rsidRPr="00E42024" w:rsidRDefault="00902E08" w:rsidP="00902E08">
            <w:pPr>
              <w:spacing w:before="60" w:after="60" w:line="240" w:lineRule="auto"/>
              <w:rPr>
                <w:rFonts w:ascii="Arial" w:eastAsia="Times New Roman" w:hAnsi="Arial" w:cs="Arial"/>
                <w:sz w:val="20"/>
                <w:szCs w:val="20"/>
                <w:lang w:eastAsia="en-GB"/>
              </w:rPr>
            </w:pPr>
            <w:r w:rsidRPr="00E42024">
              <w:rPr>
                <w:rFonts w:ascii="Arial" w:eastAsia="Times New Roman" w:hAnsi="Arial" w:cs="Arial"/>
                <w:sz w:val="20"/>
                <w:szCs w:val="20"/>
                <w:lang w:eastAsia="en-GB"/>
              </w:rPr>
              <w:t>Date of statement</w:t>
            </w:r>
          </w:p>
        </w:tc>
        <w:tc>
          <w:tcPr>
            <w:tcW w:w="2611" w:type="dxa"/>
            <w:gridSpan w:val="3"/>
            <w:hideMark/>
          </w:tcPr>
          <w:p w14:paraId="0482E077" w14:textId="314C0ADB" w:rsidR="00902E08" w:rsidRPr="00E42024" w:rsidRDefault="00E7295B" w:rsidP="00902E08">
            <w:pPr>
              <w:spacing w:before="60" w:after="60" w:line="240" w:lineRule="auto"/>
              <w:rPr>
                <w:rFonts w:ascii="Arial" w:eastAsia="Times New Roman" w:hAnsi="Arial" w:cs="Arial"/>
                <w:sz w:val="20"/>
                <w:szCs w:val="20"/>
                <w:lang w:eastAsia="en-GB"/>
              </w:rPr>
            </w:pPr>
            <w:r>
              <w:rPr>
                <w:rFonts w:ascii="Arial" w:eastAsia="Times New Roman" w:hAnsi="Arial" w:cs="Arial"/>
                <w:sz w:val="20"/>
                <w:szCs w:val="20"/>
                <w:lang w:eastAsia="en-GB"/>
              </w:rPr>
              <w:t>31/03/2023</w:t>
            </w:r>
          </w:p>
        </w:tc>
        <w:tc>
          <w:tcPr>
            <w:tcW w:w="2849" w:type="dxa"/>
            <w:gridSpan w:val="3"/>
            <w:tcBorders>
              <w:top w:val="nil"/>
              <w:bottom w:val="nil"/>
            </w:tcBorders>
            <w:shd w:val="pct12" w:color="auto" w:fill="auto"/>
          </w:tcPr>
          <w:p w14:paraId="2BE9DEBE" w14:textId="77777777" w:rsidR="00902E08" w:rsidRPr="00E42024" w:rsidRDefault="00902E08" w:rsidP="00902E08">
            <w:pPr>
              <w:spacing w:before="60" w:after="60" w:line="240" w:lineRule="auto"/>
              <w:rPr>
                <w:rFonts w:ascii="Arial" w:eastAsia="Times New Roman" w:hAnsi="Arial" w:cs="Arial"/>
                <w:sz w:val="20"/>
                <w:szCs w:val="20"/>
                <w:lang w:eastAsia="en-GB"/>
              </w:rPr>
            </w:pPr>
          </w:p>
        </w:tc>
      </w:tr>
      <w:tr w:rsidR="00902E08" w:rsidRPr="00E42024" w14:paraId="0E7C3965" w14:textId="77777777" w:rsidTr="00152C4F">
        <w:trPr>
          <w:trHeight w:hRule="exact" w:val="85"/>
        </w:trPr>
        <w:tc>
          <w:tcPr>
            <w:tcW w:w="2233" w:type="dxa"/>
            <w:tcBorders>
              <w:top w:val="nil"/>
            </w:tcBorders>
            <w:shd w:val="pct12" w:color="auto" w:fill="auto"/>
          </w:tcPr>
          <w:p w14:paraId="5EBFE087" w14:textId="77777777" w:rsidR="00902E08" w:rsidRPr="00E42024" w:rsidRDefault="00902E08" w:rsidP="00902E08">
            <w:pPr>
              <w:spacing w:before="60" w:after="60" w:line="240" w:lineRule="auto"/>
              <w:rPr>
                <w:rFonts w:ascii="Arial" w:eastAsia="Times New Roman" w:hAnsi="Arial" w:cs="Arial"/>
                <w:b/>
                <w:sz w:val="20"/>
                <w:szCs w:val="20"/>
                <w:lang w:eastAsia="en-GB"/>
              </w:rPr>
            </w:pPr>
          </w:p>
        </w:tc>
        <w:tc>
          <w:tcPr>
            <w:tcW w:w="7442" w:type="dxa"/>
            <w:gridSpan w:val="8"/>
            <w:tcBorders>
              <w:top w:val="nil"/>
            </w:tcBorders>
            <w:shd w:val="pct12" w:color="auto" w:fill="auto"/>
          </w:tcPr>
          <w:p w14:paraId="0215842C" w14:textId="77777777" w:rsidR="00902E08" w:rsidRPr="00E42024" w:rsidRDefault="00902E08" w:rsidP="00902E08">
            <w:pPr>
              <w:spacing w:before="60" w:after="60" w:line="240" w:lineRule="auto"/>
              <w:rPr>
                <w:rFonts w:ascii="Arial" w:eastAsia="Times New Roman" w:hAnsi="Arial" w:cs="Arial"/>
                <w:sz w:val="20"/>
                <w:szCs w:val="20"/>
                <w:lang w:eastAsia="en-GB"/>
              </w:rPr>
            </w:pPr>
          </w:p>
        </w:tc>
      </w:tr>
      <w:tr w:rsidR="00902E08" w:rsidRPr="00E42024" w14:paraId="32FF1462" w14:textId="77777777" w:rsidTr="00152C4F">
        <w:trPr>
          <w:trHeight w:val="85"/>
        </w:trPr>
        <w:tc>
          <w:tcPr>
            <w:tcW w:w="9675" w:type="dxa"/>
            <w:gridSpan w:val="9"/>
            <w:tcBorders>
              <w:top w:val="nil"/>
              <w:bottom w:val="nil"/>
            </w:tcBorders>
            <w:shd w:val="pct12" w:color="auto" w:fill="auto"/>
            <w:vAlign w:val="center"/>
          </w:tcPr>
          <w:p w14:paraId="4EB28E04" w14:textId="77777777" w:rsidR="00902E08" w:rsidRPr="00E42024" w:rsidRDefault="00902E08" w:rsidP="00902E08">
            <w:pPr>
              <w:spacing w:before="60" w:after="60" w:line="240" w:lineRule="auto"/>
              <w:rPr>
                <w:rFonts w:ascii="Arial" w:eastAsia="Times New Roman" w:hAnsi="Arial" w:cs="Arial"/>
                <w:sz w:val="16"/>
                <w:szCs w:val="16"/>
                <w:lang w:eastAsia="en-GB"/>
              </w:rPr>
            </w:pPr>
          </w:p>
        </w:tc>
      </w:tr>
      <w:tr w:rsidR="00902E08" w:rsidRPr="00E42024" w14:paraId="0B27746A" w14:textId="77777777" w:rsidTr="00152C4F">
        <w:trPr>
          <w:trHeight w:val="612"/>
        </w:trPr>
        <w:tc>
          <w:tcPr>
            <w:tcW w:w="2233" w:type="dxa"/>
            <w:tcBorders>
              <w:top w:val="nil"/>
              <w:bottom w:val="nil"/>
            </w:tcBorders>
            <w:shd w:val="pct12" w:color="auto" w:fill="auto"/>
            <w:vAlign w:val="center"/>
            <w:hideMark/>
          </w:tcPr>
          <w:p w14:paraId="7EBDC0C6" w14:textId="77777777" w:rsidR="00902E08" w:rsidRPr="00E42024" w:rsidRDefault="00902E08" w:rsidP="00902E08">
            <w:pPr>
              <w:spacing w:before="60" w:after="60" w:line="240" w:lineRule="auto"/>
              <w:rPr>
                <w:rFonts w:ascii="Arial" w:eastAsia="Times New Roman" w:hAnsi="Arial" w:cs="Arial"/>
                <w:b/>
                <w:sz w:val="20"/>
                <w:szCs w:val="20"/>
                <w:lang w:eastAsia="en-GB"/>
              </w:rPr>
            </w:pPr>
            <w:r w:rsidRPr="00E42024">
              <w:rPr>
                <w:rFonts w:ascii="Arial" w:eastAsia="Times New Roman" w:hAnsi="Arial" w:cs="Arial"/>
                <w:b/>
                <w:sz w:val="20"/>
                <w:szCs w:val="20"/>
              </w:rPr>
              <w:t>Contact details</w:t>
            </w:r>
          </w:p>
        </w:tc>
        <w:tc>
          <w:tcPr>
            <w:tcW w:w="7203" w:type="dxa"/>
            <w:gridSpan w:val="7"/>
            <w:vAlign w:val="center"/>
            <w:hideMark/>
          </w:tcPr>
          <w:p w14:paraId="50996F94" w14:textId="77777777" w:rsidR="00902E08" w:rsidRPr="00E42024" w:rsidRDefault="00902E08" w:rsidP="00902E08">
            <w:pPr>
              <w:spacing w:before="60" w:after="60" w:line="240" w:lineRule="auto"/>
              <w:rPr>
                <w:rFonts w:ascii="Arial" w:eastAsia="Times New Roman" w:hAnsi="Arial" w:cs="Arial"/>
                <w:sz w:val="20"/>
                <w:szCs w:val="20"/>
                <w:lang w:eastAsia="en-GB"/>
              </w:rPr>
            </w:pPr>
            <w:r w:rsidRPr="00E42024">
              <w:rPr>
                <w:rFonts w:ascii="Arial" w:eastAsia="Times New Roman" w:hAnsi="Arial" w:cs="Arial"/>
                <w:sz w:val="20"/>
                <w:szCs w:val="20"/>
                <w:lang w:eastAsia="en-GB"/>
              </w:rPr>
              <w:t>Linda Rush, Head of Human Resources 01302 370777</w:t>
            </w:r>
          </w:p>
        </w:tc>
        <w:tc>
          <w:tcPr>
            <w:tcW w:w="239" w:type="dxa"/>
            <w:tcBorders>
              <w:top w:val="nil"/>
              <w:bottom w:val="nil"/>
            </w:tcBorders>
            <w:shd w:val="pct12" w:color="auto" w:fill="auto"/>
            <w:vAlign w:val="center"/>
          </w:tcPr>
          <w:p w14:paraId="295A6027" w14:textId="77777777" w:rsidR="00902E08" w:rsidRPr="00E42024" w:rsidRDefault="00902E08" w:rsidP="00902E08">
            <w:pPr>
              <w:spacing w:before="60" w:after="60" w:line="240" w:lineRule="auto"/>
              <w:rPr>
                <w:rFonts w:ascii="Arial" w:eastAsia="Times New Roman" w:hAnsi="Arial" w:cs="Arial"/>
                <w:sz w:val="20"/>
                <w:szCs w:val="20"/>
                <w:lang w:eastAsia="en-GB"/>
              </w:rPr>
            </w:pPr>
          </w:p>
        </w:tc>
      </w:tr>
      <w:tr w:rsidR="00902E08" w:rsidRPr="00E42024" w14:paraId="218A47A2" w14:textId="77777777" w:rsidTr="00152C4F">
        <w:trPr>
          <w:trHeight w:val="85"/>
        </w:trPr>
        <w:tc>
          <w:tcPr>
            <w:tcW w:w="9675" w:type="dxa"/>
            <w:gridSpan w:val="9"/>
            <w:tcBorders>
              <w:top w:val="nil"/>
            </w:tcBorders>
            <w:shd w:val="pct12" w:color="auto" w:fill="auto"/>
            <w:vAlign w:val="center"/>
          </w:tcPr>
          <w:p w14:paraId="03A9BB7C" w14:textId="77777777" w:rsidR="00902E08" w:rsidRPr="00E42024" w:rsidRDefault="00902E08" w:rsidP="00902E08">
            <w:pPr>
              <w:spacing w:before="60" w:after="60" w:line="240" w:lineRule="auto"/>
              <w:rPr>
                <w:rFonts w:ascii="Arial" w:eastAsia="Times New Roman" w:hAnsi="Arial" w:cs="Arial"/>
                <w:sz w:val="16"/>
                <w:szCs w:val="16"/>
                <w:lang w:eastAsia="en-GB"/>
              </w:rPr>
            </w:pPr>
          </w:p>
        </w:tc>
      </w:tr>
    </w:tbl>
    <w:p w14:paraId="4E88C0A7" w14:textId="77777777" w:rsidR="00784D35" w:rsidRDefault="00784D35"/>
    <w:sectPr w:rsidR="00784D35" w:rsidSect="00C537C2">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727A9"/>
    <w:multiLevelType w:val="hybridMultilevel"/>
    <w:tmpl w:val="9412D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16cid:durableId="357120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24"/>
    <w:rsid w:val="000177F1"/>
    <w:rsid w:val="000C5865"/>
    <w:rsid w:val="00122F61"/>
    <w:rsid w:val="00170C17"/>
    <w:rsid w:val="001C5813"/>
    <w:rsid w:val="00233D0F"/>
    <w:rsid w:val="002C6B61"/>
    <w:rsid w:val="00311915"/>
    <w:rsid w:val="00333DA3"/>
    <w:rsid w:val="0041605A"/>
    <w:rsid w:val="00482424"/>
    <w:rsid w:val="004B3FA2"/>
    <w:rsid w:val="004C69ED"/>
    <w:rsid w:val="006111E0"/>
    <w:rsid w:val="0061538A"/>
    <w:rsid w:val="00735DA9"/>
    <w:rsid w:val="00784D35"/>
    <w:rsid w:val="007F2E85"/>
    <w:rsid w:val="00894B90"/>
    <w:rsid w:val="00902E08"/>
    <w:rsid w:val="009D3A79"/>
    <w:rsid w:val="00A02D22"/>
    <w:rsid w:val="00A447AD"/>
    <w:rsid w:val="00B0504D"/>
    <w:rsid w:val="00C174DD"/>
    <w:rsid w:val="00C413FF"/>
    <w:rsid w:val="00CB1C08"/>
    <w:rsid w:val="00CC4B9A"/>
    <w:rsid w:val="00DC1D7F"/>
    <w:rsid w:val="00DF607D"/>
    <w:rsid w:val="00E071D3"/>
    <w:rsid w:val="00E14CCC"/>
    <w:rsid w:val="00E42024"/>
    <w:rsid w:val="00E7295B"/>
    <w:rsid w:val="00F819D7"/>
    <w:rsid w:val="00F96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65B6"/>
  <w15:chartTrackingRefBased/>
  <w15:docId w15:val="{D71A428D-F78E-4470-95D7-85BE2B71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E42024"/>
    <w:pPr>
      <w:overflowPunct w:val="0"/>
      <w:autoSpaceDE w:val="0"/>
      <w:autoSpaceDN w:val="0"/>
      <w:adjustRightInd w:val="0"/>
      <w:spacing w:after="0" w:line="240" w:lineRule="auto"/>
      <w:jc w:val="center"/>
    </w:pPr>
    <w:rPr>
      <w:rFonts w:ascii="Trebuchet MS" w:eastAsia="Times New Roman" w:hAnsi="Trebuchet MS" w:cs="Times New Roman"/>
      <w:b/>
      <w:bCs/>
      <w:i/>
      <w:iCs/>
      <w:sz w:val="24"/>
      <w:szCs w:val="20"/>
    </w:rPr>
  </w:style>
  <w:style w:type="character" w:customStyle="1" w:styleId="BodyText2Char">
    <w:name w:val="Body Text 2 Char"/>
    <w:basedOn w:val="DefaultParagraphFont"/>
    <w:link w:val="BodyText2"/>
    <w:uiPriority w:val="99"/>
    <w:rsid w:val="00E42024"/>
    <w:rPr>
      <w:rFonts w:ascii="Trebuchet MS" w:eastAsia="Times New Roman" w:hAnsi="Trebuchet MS" w:cs="Times New Roman"/>
      <w:b/>
      <w:bCs/>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25D2B-7801-4621-9560-40672017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Rush</dc:creator>
  <cp:keywords/>
  <dc:description/>
  <cp:lastModifiedBy>Linda Rush</cp:lastModifiedBy>
  <cp:revision>6</cp:revision>
  <dcterms:created xsi:type="dcterms:W3CDTF">2023-03-30T13:04:00Z</dcterms:created>
  <dcterms:modified xsi:type="dcterms:W3CDTF">2023-03-30T21:29:00Z</dcterms:modified>
</cp:coreProperties>
</file>